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cs="Times New Roman"/>
          <w:b/>
          <w:bCs/>
          <w:sz w:val="28"/>
          <w:szCs w:val="28"/>
        </w:rPr>
      </w:pPr>
      <w:r>
        <w:rPr>
          <w:rFonts w:hint="eastAsia" w:ascii="Times New Roman" w:hAnsi="Times New Roman" w:cs="Times New Roman"/>
          <w:b/>
          <w:bCs/>
          <w:sz w:val="28"/>
          <w:szCs w:val="28"/>
          <w:lang w:val="en-US" w:eastAsia="zh-CN"/>
        </w:rPr>
        <w:t xml:space="preserve">Unit 2 </w:t>
      </w:r>
      <w:r>
        <w:rPr>
          <w:rFonts w:hint="default" w:ascii="Times New Roman" w:hAnsi="Times New Roman" w:cs="Times New Roman"/>
          <w:b/>
          <w:bCs/>
          <w:sz w:val="28"/>
          <w:szCs w:val="28"/>
        </w:rPr>
        <w:t>Video Time</w:t>
      </w:r>
      <w:r>
        <w:rPr>
          <w:rFonts w:hint="eastAsia" w:ascii="Times New Roman" w:hAnsi="Times New Roman" w:cs="Times New Roman"/>
          <w:b/>
          <w:bCs/>
          <w:sz w:val="28"/>
          <w:szCs w:val="28"/>
          <w:lang w:val="en-US" w:eastAsia="zh-CN"/>
        </w:rPr>
        <w:t xml:space="preserve"> 教案</w:t>
      </w:r>
    </w:p>
    <w:tbl>
      <w:tblPr>
        <w:tblStyle w:val="8"/>
        <w:tblW w:w="91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699"/>
        <w:gridCol w:w="710"/>
        <w:gridCol w:w="1846"/>
        <w:gridCol w:w="71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40" w:type="dxa"/>
            <w:gridSpan w:val="6"/>
            <w:shd w:val="clear" w:color="auto" w:fill="CCCCCC"/>
            <w:vAlign w:val="center"/>
          </w:tcPr>
          <w:p>
            <w:pPr>
              <w:ind w:firstLine="0" w:firstLineChars="0"/>
              <w:jc w:val="center"/>
              <w:rPr>
                <w:sz w:val="21"/>
                <w:szCs w:val="21"/>
              </w:rPr>
            </w:pPr>
            <w:bookmarkStart w:id="0" w:name="_Hlk46248128"/>
            <w:bookmarkStart w:id="1" w:name="_Hlk46248145"/>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37" w:type="dxa"/>
            <w:shd w:val="clear" w:color="auto" w:fill="auto"/>
            <w:vAlign w:val="center"/>
          </w:tcPr>
          <w:p>
            <w:pPr>
              <w:ind w:firstLine="0" w:firstLineChars="0"/>
              <w:rPr>
                <w:sz w:val="21"/>
                <w:szCs w:val="21"/>
              </w:rPr>
            </w:pPr>
            <w:r>
              <w:rPr>
                <w:rFonts w:hint="eastAsia"/>
                <w:sz w:val="21"/>
                <w:szCs w:val="21"/>
              </w:rPr>
              <w:t>学科</w:t>
            </w:r>
          </w:p>
        </w:tc>
        <w:tc>
          <w:tcPr>
            <w:tcW w:w="2699" w:type="dxa"/>
            <w:shd w:val="clear" w:color="auto" w:fill="auto"/>
            <w:vAlign w:val="center"/>
          </w:tcPr>
          <w:p>
            <w:pPr>
              <w:ind w:firstLine="0" w:firstLineChars="0"/>
              <w:rPr>
                <w:sz w:val="21"/>
                <w:szCs w:val="21"/>
              </w:rPr>
            </w:pPr>
            <w:r>
              <w:rPr>
                <w:rFonts w:hint="eastAsia"/>
                <w:sz w:val="21"/>
                <w:szCs w:val="21"/>
              </w:rPr>
              <w:t>英语</w:t>
            </w:r>
          </w:p>
        </w:tc>
        <w:tc>
          <w:tcPr>
            <w:tcW w:w="710" w:type="dxa"/>
            <w:shd w:val="clear" w:color="auto" w:fill="auto"/>
            <w:vAlign w:val="center"/>
          </w:tcPr>
          <w:p>
            <w:pPr>
              <w:ind w:firstLine="0" w:firstLineChars="0"/>
              <w:rPr>
                <w:sz w:val="21"/>
                <w:szCs w:val="21"/>
              </w:rPr>
            </w:pPr>
            <w:r>
              <w:rPr>
                <w:rFonts w:hint="eastAsia"/>
                <w:sz w:val="21"/>
                <w:szCs w:val="21"/>
              </w:rPr>
              <w:t>年级</w:t>
            </w:r>
          </w:p>
        </w:tc>
        <w:tc>
          <w:tcPr>
            <w:tcW w:w="1846" w:type="dxa"/>
            <w:shd w:val="clear" w:color="auto" w:fill="auto"/>
            <w:vAlign w:val="center"/>
          </w:tcPr>
          <w:p>
            <w:pPr>
              <w:ind w:firstLine="0" w:firstLineChars="0"/>
              <w:rPr>
                <w:sz w:val="21"/>
                <w:szCs w:val="21"/>
              </w:rPr>
            </w:pPr>
            <w:r>
              <w:rPr>
                <w:rFonts w:hint="eastAsia"/>
                <w:sz w:val="21"/>
                <w:szCs w:val="21"/>
              </w:rPr>
              <w:t>高二</w:t>
            </w:r>
          </w:p>
        </w:tc>
        <w:tc>
          <w:tcPr>
            <w:tcW w:w="710" w:type="dxa"/>
            <w:shd w:val="clear" w:color="auto" w:fill="auto"/>
            <w:vAlign w:val="center"/>
          </w:tcPr>
          <w:p>
            <w:pPr>
              <w:ind w:firstLine="0" w:firstLineChars="0"/>
              <w:rPr>
                <w:sz w:val="21"/>
                <w:szCs w:val="21"/>
              </w:rPr>
            </w:pPr>
            <w:r>
              <w:rPr>
                <w:rFonts w:hint="eastAsia"/>
                <w:sz w:val="21"/>
                <w:szCs w:val="21"/>
              </w:rPr>
              <w:t>学期</w:t>
            </w:r>
          </w:p>
        </w:tc>
        <w:tc>
          <w:tcPr>
            <w:tcW w:w="2038" w:type="dxa"/>
            <w:shd w:val="clear" w:color="auto" w:fill="auto"/>
            <w:vAlign w:val="center"/>
          </w:tcPr>
          <w:p>
            <w:pPr>
              <w:ind w:firstLine="0" w:firstLineChars="0"/>
              <w:rPr>
                <w:sz w:val="21"/>
                <w:szCs w:val="21"/>
              </w:rPr>
            </w:pPr>
            <w:r>
              <w:rPr>
                <w:rFonts w:hint="eastAsia"/>
                <w:sz w:val="21"/>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37" w:type="dxa"/>
            <w:shd w:val="clear" w:color="auto" w:fill="auto"/>
            <w:vAlign w:val="center"/>
          </w:tcPr>
          <w:p>
            <w:pPr>
              <w:ind w:firstLine="0" w:firstLineChars="0"/>
              <w:rPr>
                <w:sz w:val="21"/>
                <w:szCs w:val="21"/>
              </w:rPr>
            </w:pPr>
            <w:r>
              <w:rPr>
                <w:rFonts w:hint="eastAsia"/>
                <w:sz w:val="21"/>
                <w:szCs w:val="21"/>
              </w:rPr>
              <w:t>课题</w:t>
            </w:r>
          </w:p>
        </w:tc>
        <w:tc>
          <w:tcPr>
            <w:tcW w:w="8003" w:type="dxa"/>
            <w:gridSpan w:val="5"/>
            <w:shd w:val="clear" w:color="auto" w:fill="auto"/>
            <w:vAlign w:val="center"/>
          </w:tcPr>
          <w:p>
            <w:pPr>
              <w:ind w:firstLine="0" w:firstLineChars="0"/>
              <w:rPr>
                <w:rFonts w:ascii="Times New Roman" w:hAnsi="Times New Roman"/>
                <w:sz w:val="21"/>
                <w:szCs w:val="21"/>
              </w:rPr>
            </w:pPr>
            <w:r>
              <w:rPr>
                <w:rFonts w:ascii="Times New Roman" w:hAnsi="Times New Roman"/>
                <w:sz w:val="21"/>
                <w:szCs w:val="21"/>
              </w:rPr>
              <w:t>Video Time: The Mbantua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37" w:type="dxa"/>
            <w:shd w:val="clear" w:color="auto" w:fill="auto"/>
          </w:tcPr>
          <w:p>
            <w:pPr>
              <w:ind w:firstLine="0" w:firstLineChars="0"/>
              <w:rPr>
                <w:sz w:val="21"/>
                <w:szCs w:val="21"/>
              </w:rPr>
            </w:pPr>
            <w:r>
              <w:rPr>
                <w:rFonts w:hint="eastAsia"/>
                <w:sz w:val="21"/>
                <w:szCs w:val="21"/>
              </w:rPr>
              <w:t>教科书</w:t>
            </w:r>
          </w:p>
        </w:tc>
        <w:tc>
          <w:tcPr>
            <w:tcW w:w="8003" w:type="dxa"/>
            <w:gridSpan w:val="5"/>
            <w:shd w:val="clear" w:color="auto" w:fill="auto"/>
          </w:tcPr>
          <w:p>
            <w:pPr>
              <w:ind w:firstLine="0" w:firstLineChars="0"/>
              <w:jc w:val="left"/>
              <w:rPr>
                <w:sz w:val="21"/>
                <w:szCs w:val="21"/>
              </w:rPr>
            </w:pPr>
            <w:r>
              <w:rPr>
                <w:rFonts w:hint="eastAsia"/>
                <w:sz w:val="21"/>
                <w:szCs w:val="21"/>
              </w:rPr>
              <w:t>书  名：选择性必修第四册教材</w:t>
            </w:r>
          </w:p>
          <w:p>
            <w:pPr>
              <w:ind w:firstLine="0" w:firstLineChars="0"/>
              <w:rPr>
                <w:sz w:val="21"/>
                <w:szCs w:val="21"/>
              </w:rPr>
            </w:pPr>
            <w:r>
              <w:rPr>
                <w:rFonts w:hint="eastAsia"/>
                <w:sz w:val="21"/>
                <w:szCs w:val="21"/>
              </w:rPr>
              <w:t xml:space="preserve">出版社：人民教育出版社               </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40"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9140" w:type="dxa"/>
            <w:gridSpan w:val="6"/>
            <w:shd w:val="clear" w:color="auto" w:fill="auto"/>
          </w:tcPr>
          <w:p>
            <w:pPr>
              <w:numPr>
                <w:ilvl w:val="0"/>
                <w:numId w:val="1"/>
              </w:numPr>
              <w:ind w:left="210" w:hanging="210" w:hangingChars="100"/>
              <w:jc w:val="left"/>
              <w:rPr>
                <w:rFonts w:hint="default" w:ascii="Times New Roman" w:hAnsi="Times New Roman" w:cs="Times New Roman"/>
                <w:sz w:val="21"/>
                <w:szCs w:val="21"/>
              </w:rPr>
            </w:pPr>
            <w:r>
              <w:rPr>
                <w:rFonts w:hint="default" w:ascii="Times New Roman" w:hAnsi="Times New Roman" w:cs="Times New Roman"/>
                <w:sz w:val="21"/>
                <w:szCs w:val="21"/>
              </w:rPr>
              <w:t>通过自主提问，引导学生关注举办The Mbantua Festival的原因、开展的活动及其带来的影响；</w:t>
            </w:r>
          </w:p>
          <w:p>
            <w:pPr>
              <w:numPr>
                <w:ilvl w:val="0"/>
                <w:numId w:val="1"/>
              </w:numPr>
              <w:ind w:left="210" w:hanging="210" w:hangingChars="100"/>
              <w:jc w:val="left"/>
              <w:rPr>
                <w:rFonts w:hint="default" w:ascii="Times New Roman" w:hAnsi="Times New Roman" w:cs="Times New Roman"/>
                <w:sz w:val="21"/>
                <w:szCs w:val="21"/>
              </w:rPr>
            </w:pPr>
            <w:r>
              <w:rPr>
                <w:rFonts w:hint="default" w:ascii="Times New Roman" w:hAnsi="Times New Roman" w:cs="Times New Roman"/>
                <w:sz w:val="21"/>
                <w:szCs w:val="21"/>
              </w:rPr>
              <w:t>借助思维导图，边看边听边记，提取视频信息，建构the Mbantua Festival的信息结构图，理解澳大利亚土著文化对澳大利亚人的意义；</w:t>
            </w:r>
          </w:p>
          <w:p>
            <w:pPr>
              <w:ind w:left="-240" w:leftChars="-100"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3.3. 结合思维导图信息，批判性地思考该节日的意义和保护文化的方法，在此过程中提升文化</w:t>
            </w:r>
          </w:p>
          <w:p>
            <w:pPr>
              <w:ind w:left="-240" w:leftChars="-100"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40" w:type="dxa"/>
            <w:gridSpan w:val="6"/>
            <w:shd w:val="clear" w:color="auto" w:fill="D9D9D9"/>
          </w:tcPr>
          <w:p>
            <w:pPr>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9140" w:type="dxa"/>
            <w:gridSpan w:val="6"/>
            <w:shd w:val="clear" w:color="auto" w:fill="auto"/>
          </w:tcPr>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教学重点：</w:t>
            </w:r>
          </w:p>
          <w:p>
            <w:pPr>
              <w:numPr>
                <w:ilvl w:val="0"/>
                <w:numId w:val="2"/>
              </w:num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引导学生在观看视频的同时借助思维导图，理出与the Mbantua Festival相关的信息和语言；</w:t>
            </w:r>
          </w:p>
          <w:p>
            <w:pPr>
              <w:numPr>
                <w:ilvl w:val="0"/>
                <w:numId w:val="2"/>
              </w:num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 xml:space="preserve">引导学生思考土著文化、我国少数民族文化对本国主流文化的意义及对其的保护方法。 </w:t>
            </w:r>
          </w:p>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教学难点：</w:t>
            </w:r>
          </w:p>
          <w:p>
            <w:pPr>
              <w:numPr>
                <w:ilvl w:val="0"/>
                <w:numId w:val="3"/>
              </w:num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如何通过非连续性语篇，准确获取相关语言和信息？</w:t>
            </w:r>
            <w:r>
              <w:rPr>
                <w:rFonts w:hint="default" w:ascii="Times New Roman" w:hAnsi="Times New Roman" w:cs="Times New Roman"/>
                <w:sz w:val="21"/>
                <w:szCs w:val="21"/>
              </w:rPr>
              <w:br w:type="textWrapping"/>
            </w:r>
            <w:r>
              <w:rPr>
                <w:rFonts w:hint="default" w:ascii="Times New Roman" w:hAnsi="Times New Roman" w:cs="Times New Roman"/>
                <w:sz w:val="21"/>
                <w:szCs w:val="21"/>
              </w:rPr>
              <w:t>2. 学会迁移使用该思维导图框架探讨其他节日。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40"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9140" w:type="dxa"/>
            <w:gridSpan w:val="6"/>
            <w:shd w:val="clear" w:color="auto" w:fill="auto"/>
          </w:tcPr>
          <w:p>
            <w:pPr>
              <w:ind w:left="240" w:hanging="240" w:hangingChars="100"/>
            </w:pPr>
          </w:p>
          <w:tbl>
            <w:tblPr>
              <w:tblStyle w:val="9"/>
              <w:tblW w:w="88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7"/>
              <w:gridCol w:w="4500"/>
              <w:gridCol w:w="3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Align w:val="center"/>
                </w:tcPr>
                <w:p>
                  <w:pPr>
                    <w:ind w:firstLine="482"/>
                    <w:jc w:val="center"/>
                    <w:rPr>
                      <w:rFonts w:ascii="Times New Roman" w:hAnsi="Times New Roman"/>
                      <w:b/>
                      <w:bCs/>
                      <w:kern w:val="0"/>
                      <w:szCs w:val="21"/>
                    </w:rPr>
                  </w:pPr>
                  <w:r>
                    <w:rPr>
                      <w:rFonts w:hint="eastAsia" w:ascii="Times New Roman" w:hAnsi="Times New Roman"/>
                      <w:b/>
                      <w:bCs/>
                      <w:kern w:val="0"/>
                      <w:szCs w:val="21"/>
                    </w:rPr>
                    <w:t>教学步骤</w:t>
                  </w:r>
                </w:p>
              </w:tc>
              <w:tc>
                <w:tcPr>
                  <w:tcW w:w="4500" w:type="dxa"/>
                  <w:vAlign w:val="center"/>
                </w:tcPr>
                <w:p>
                  <w:pPr>
                    <w:ind w:firstLine="482"/>
                    <w:jc w:val="center"/>
                    <w:rPr>
                      <w:rFonts w:ascii="Times New Roman" w:hAnsi="Times New Roman"/>
                      <w:b/>
                      <w:bCs/>
                      <w:kern w:val="0"/>
                      <w:szCs w:val="21"/>
                    </w:rPr>
                  </w:pPr>
                  <w:r>
                    <w:rPr>
                      <w:rFonts w:hint="eastAsia" w:ascii="Times New Roman" w:hAnsi="Times New Roman"/>
                      <w:b/>
                      <w:bCs/>
                      <w:kern w:val="0"/>
                      <w:szCs w:val="21"/>
                    </w:rPr>
                    <w:t>教学活动</w:t>
                  </w:r>
                </w:p>
              </w:tc>
              <w:tc>
                <w:tcPr>
                  <w:tcW w:w="3091" w:type="dxa"/>
                  <w:vAlign w:val="center"/>
                </w:tcPr>
                <w:p>
                  <w:pPr>
                    <w:ind w:firstLine="482"/>
                    <w:jc w:val="center"/>
                    <w:rPr>
                      <w:rFonts w:ascii="Times New Roman" w:hAnsi="Times New Roman"/>
                      <w:b/>
                      <w:bCs/>
                      <w:kern w:val="0"/>
                      <w:szCs w:val="21"/>
                    </w:rPr>
                  </w:pPr>
                  <w:r>
                    <w:rPr>
                      <w:rFonts w:hint="eastAsia" w:ascii="Times New Roman" w:hAnsi="Times New Roman"/>
                      <w:b/>
                      <w:bCs/>
                      <w:kern w:val="0"/>
                      <w:szCs w:val="21"/>
                    </w:rPr>
                    <w:t>设计意图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6" w:hRule="atLeast"/>
              </w:trPr>
              <w:tc>
                <w:tcPr>
                  <w:tcW w:w="1217" w:type="dxa"/>
                  <w:vAlign w:val="center"/>
                </w:tcPr>
                <w:p>
                  <w:pPr>
                    <w:ind w:firstLine="0" w:firstLineChars="0"/>
                    <w:jc w:val="left"/>
                    <w:rPr>
                      <w:rFonts w:ascii="Times New Roman" w:hAnsi="Times New Roman"/>
                      <w:bCs/>
                      <w:kern w:val="0"/>
                      <w:szCs w:val="21"/>
                    </w:rPr>
                  </w:pPr>
                  <w:r>
                    <w:rPr>
                      <w:rFonts w:hint="eastAsia" w:ascii="Times New Roman" w:hAnsi="Times New Roman"/>
                      <w:bCs/>
                      <w:kern w:val="0"/>
                      <w:szCs w:val="21"/>
                    </w:rPr>
                    <w:t>Step 1</w:t>
                  </w:r>
                </w:p>
                <w:p>
                  <w:pPr>
                    <w:ind w:firstLine="0" w:firstLineChars="0"/>
                    <w:jc w:val="left"/>
                    <w:rPr>
                      <w:rFonts w:ascii="Times New Roman" w:hAnsi="Times New Roman"/>
                      <w:bCs/>
                      <w:kern w:val="0"/>
                      <w:szCs w:val="21"/>
                    </w:rPr>
                  </w:pPr>
                  <w:r>
                    <w:rPr>
                      <w:rFonts w:hint="eastAsia" w:ascii="Times New Roman" w:hAnsi="Times New Roman"/>
                      <w:bCs/>
                      <w:kern w:val="0"/>
                      <w:szCs w:val="21"/>
                    </w:rPr>
                    <w:t>Lead-in and make a prediction</w:t>
                  </w:r>
                </w:p>
              </w:tc>
              <w:tc>
                <w:tcPr>
                  <w:tcW w:w="4500" w:type="dxa"/>
                </w:tcPr>
                <w:p>
                  <w:pPr>
                    <w:numPr>
                      <w:ilvl w:val="0"/>
                      <w:numId w:val="4"/>
                    </w:numPr>
                    <w:rPr>
                      <w:rFonts w:ascii="Times New Roman" w:hAnsi="Times New Roman"/>
                      <w:kern w:val="0"/>
                      <w:szCs w:val="21"/>
                    </w:rPr>
                  </w:pPr>
                  <w:r>
                    <w:rPr>
                      <w:rFonts w:hint="eastAsia" w:ascii="Times New Roman" w:hAnsi="Times New Roman"/>
                      <w:kern w:val="0"/>
                      <w:szCs w:val="21"/>
                    </w:rPr>
                    <w:t>Brain-storm: What will you always  do at festivals?</w:t>
                  </w:r>
                </w:p>
                <w:p>
                  <w:pPr>
                    <w:numPr>
                      <w:ilvl w:val="0"/>
                      <w:numId w:val="4"/>
                    </w:numPr>
                    <w:rPr>
                      <w:rFonts w:ascii="Times New Roman" w:hAnsi="Times New Roman"/>
                      <w:kern w:val="0"/>
                      <w:szCs w:val="21"/>
                    </w:rPr>
                  </w:pPr>
                  <w:r>
                    <w:rPr>
                      <w:rFonts w:hint="eastAsia" w:ascii="Times New Roman" w:hAnsi="Times New Roman"/>
                      <w:kern w:val="0"/>
                      <w:szCs w:val="21"/>
                    </w:rPr>
                    <w:t>Make a prediction of the content by referring to a picture of the Mbantua Festival, the title and the brief introduction of the video on Page 24.</w:t>
                  </w:r>
                </w:p>
                <w:p>
                  <w:pPr>
                    <w:pStyle w:val="2"/>
                    <w:ind w:firstLine="643"/>
                    <w:jc w:val="both"/>
                    <w:rPr>
                      <w:rFonts w:ascii="Times New Roman" w:hAnsi="Times New Roman"/>
                      <w:kern w:val="0"/>
                      <w:szCs w:val="21"/>
                    </w:rPr>
                  </w:pPr>
                  <w:r>
                    <w:rPr>
                      <w:rFonts w:hint="eastAsia" w:eastAsia="宋体"/>
                    </w:rPr>
                    <w:drawing>
                      <wp:anchor distT="0" distB="0" distL="114300" distR="114300" simplePos="0" relativeHeight="251659264" behindDoc="0" locked="0" layoutInCell="1" allowOverlap="1">
                        <wp:simplePos x="0" y="0"/>
                        <wp:positionH relativeFrom="column">
                          <wp:posOffset>26670</wp:posOffset>
                        </wp:positionH>
                        <wp:positionV relativeFrom="paragraph">
                          <wp:posOffset>57150</wp:posOffset>
                        </wp:positionV>
                        <wp:extent cx="2715895" cy="905510"/>
                        <wp:effectExtent l="0" t="0" r="8255" b="8890"/>
                        <wp:wrapSquare wrapText="bothSides"/>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1"/>
                                </pic:cNvPicPr>
                              </pic:nvPicPr>
                              <pic:blipFill>
                                <a:blip r:embed="rId6"/>
                                <a:stretch>
                                  <a:fillRect/>
                                </a:stretch>
                              </pic:blipFill>
                              <pic:spPr>
                                <a:xfrm>
                                  <a:off x="0" y="0"/>
                                  <a:ext cx="2715895" cy="905510"/>
                                </a:xfrm>
                                <a:prstGeom prst="rect">
                                  <a:avLst/>
                                </a:prstGeom>
                              </pic:spPr>
                            </pic:pic>
                          </a:graphicData>
                        </a:graphic>
                      </wp:anchor>
                    </w:drawing>
                  </w:r>
                </w:p>
              </w:tc>
              <w:tc>
                <w:tcPr>
                  <w:tcW w:w="3091" w:type="dxa"/>
                </w:tcPr>
                <w:p>
                  <w:pPr>
                    <w:jc w:val="left"/>
                    <w:rPr>
                      <w:rFonts w:ascii="Times New Roman" w:hAnsi="Times New Roman"/>
                      <w:kern w:val="0"/>
                      <w:szCs w:val="21"/>
                    </w:rPr>
                  </w:pPr>
                  <w:r>
                    <w:rPr>
                      <w:rFonts w:hint="eastAsia" w:asciiTheme="minorEastAsia" w:hAnsiTheme="minorEastAsia" w:cstheme="minorEastAsia"/>
                      <w:kern w:val="0"/>
                      <w:szCs w:val="21"/>
                    </w:rPr>
                    <w:t>本活动旨在引出</w:t>
                  </w:r>
                  <w:r>
                    <w:rPr>
                      <w:rFonts w:hint="eastAsia" w:ascii="Times New Roman" w:hAnsi="Times New Roman"/>
                      <w:kern w:val="0"/>
                      <w:szCs w:val="21"/>
                    </w:rPr>
                    <w:t>the Mbantua Festival</w:t>
                  </w:r>
                  <w:r>
                    <w:rPr>
                      <w:rFonts w:hint="eastAsia" w:asciiTheme="minorEastAsia" w:hAnsiTheme="minorEastAsia" w:cstheme="minorEastAsia"/>
                      <w:kern w:val="0"/>
                      <w:szCs w:val="21"/>
                    </w:rPr>
                    <w:t>相关话题。通过回顾自身参与节日的经历，激活已有知识。 并让学生通过观察节日图片、视频标题和简介，预测视频的内容。此步骤有助于激发学生获取信息的积极性和主动性。此步骤为目标1做好铺垫。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Align w:val="center"/>
                </w:tcPr>
                <w:p>
                  <w:pPr>
                    <w:ind w:firstLine="0" w:firstLineChars="0"/>
                    <w:rPr>
                      <w:rFonts w:ascii="Times New Roman" w:hAnsi="Times New Roman"/>
                      <w:bCs/>
                      <w:kern w:val="0"/>
                      <w:szCs w:val="21"/>
                    </w:rPr>
                  </w:pPr>
                  <w:r>
                    <w:rPr>
                      <w:rFonts w:hint="eastAsia" w:ascii="Times New Roman" w:hAnsi="Times New Roman"/>
                      <w:bCs/>
                      <w:kern w:val="0"/>
                      <w:szCs w:val="21"/>
                    </w:rPr>
                    <w:t>Step 2</w:t>
                  </w:r>
                </w:p>
                <w:p>
                  <w:pPr>
                    <w:ind w:firstLine="0" w:firstLineChars="0"/>
                    <w:rPr>
                      <w:rFonts w:ascii="Times New Roman" w:hAnsi="Times New Roman"/>
                      <w:bCs/>
                      <w:kern w:val="0"/>
                      <w:szCs w:val="21"/>
                    </w:rPr>
                  </w:pPr>
                  <w:r>
                    <w:rPr>
                      <w:rFonts w:hint="eastAsia" w:ascii="Times New Roman" w:hAnsi="Times New Roman"/>
                      <w:bCs/>
                      <w:kern w:val="0"/>
                      <w:szCs w:val="21"/>
                    </w:rPr>
                    <w:t>Match the words</w:t>
                  </w:r>
                </w:p>
              </w:tc>
              <w:tc>
                <w:tcPr>
                  <w:tcW w:w="4500" w:type="dxa"/>
                </w:tcPr>
                <w:p>
                  <w:pPr>
                    <w:numPr>
                      <w:ilvl w:val="0"/>
                      <w:numId w:val="5"/>
                    </w:numPr>
                    <w:jc w:val="left"/>
                    <w:rPr>
                      <w:rFonts w:ascii="Times New Roman" w:hAnsi="Times New Roman"/>
                      <w:kern w:val="0"/>
                      <w:szCs w:val="21"/>
                    </w:rPr>
                  </w:pPr>
                  <w:r>
                    <w:rPr>
                      <w:rFonts w:hint="eastAsia" w:ascii="Times New Roman" w:hAnsi="Times New Roman"/>
                      <w:kern w:val="0"/>
                      <w:szCs w:val="21"/>
                    </w:rPr>
                    <w:t>Match the following things.</w:t>
                  </w:r>
                </w:p>
                <w:p>
                  <w:pPr>
                    <w:ind w:firstLine="0" w:firstLineChars="0"/>
                    <w:jc w:val="left"/>
                    <w:rPr>
                      <w:rFonts w:ascii="Times New Roman" w:hAnsi="Times New Roman"/>
                      <w:kern w:val="0"/>
                      <w:szCs w:val="21"/>
                    </w:rPr>
                  </w:pPr>
                  <w:r>
                    <w:rPr>
                      <w:rFonts w:ascii="Times New Roman" w:hAnsi="Times New Roman"/>
                      <w:kern w:val="0"/>
                      <w:szCs w:val="21"/>
                    </w:rPr>
                    <w:drawing>
                      <wp:anchor distT="0" distB="0" distL="114300" distR="114300" simplePos="0" relativeHeight="251660288" behindDoc="0" locked="0" layoutInCell="1" allowOverlap="1">
                        <wp:simplePos x="0" y="0"/>
                        <wp:positionH relativeFrom="column">
                          <wp:posOffset>109220</wp:posOffset>
                        </wp:positionH>
                        <wp:positionV relativeFrom="paragraph">
                          <wp:posOffset>167640</wp:posOffset>
                        </wp:positionV>
                        <wp:extent cx="2717800" cy="1551305"/>
                        <wp:effectExtent l="0" t="0" r="0" b="0"/>
                        <wp:wrapSquare wrapText="bothSides"/>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rcRect t="23489"/>
                                <a:stretch>
                                  <a:fillRect/>
                                </a:stretch>
                              </pic:blipFill>
                              <pic:spPr>
                                <a:xfrm>
                                  <a:off x="0" y="0"/>
                                  <a:ext cx="2717800" cy="1551305"/>
                                </a:xfrm>
                                <a:prstGeom prst="rect">
                                  <a:avLst/>
                                </a:prstGeom>
                              </pic:spPr>
                            </pic:pic>
                          </a:graphicData>
                        </a:graphic>
                      </wp:anchor>
                    </w:drawing>
                  </w:r>
                  <w:r>
                    <w:rPr>
                      <w:rFonts w:hint="eastAsia" w:ascii="Times New Roman" w:hAnsi="Times New Roman"/>
                      <w:kern w:val="0"/>
                      <w:szCs w:val="21"/>
                    </w:rPr>
                    <w:t xml:space="preserve"> </w:t>
                  </w:r>
                  <w:r>
                    <w:rPr>
                      <w:rFonts w:ascii="Times New Roman" w:hAnsi="Times New Roman"/>
                      <w:kern w:val="0"/>
                      <w:szCs w:val="21"/>
                    </w:rPr>
                    <w:drawing>
                      <wp:inline distT="0" distB="0" distL="114300" distR="114300">
                        <wp:extent cx="2251075" cy="1386205"/>
                        <wp:effectExtent l="0" t="0" r="0" b="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rcRect t="17560" r="17173"/>
                                <a:stretch>
                                  <a:fillRect/>
                                </a:stretch>
                              </pic:blipFill>
                              <pic:spPr>
                                <a:xfrm>
                                  <a:off x="0" y="0"/>
                                  <a:ext cx="2251075" cy="1386205"/>
                                </a:xfrm>
                                <a:prstGeom prst="rect">
                                  <a:avLst/>
                                </a:prstGeom>
                              </pic:spPr>
                            </pic:pic>
                          </a:graphicData>
                        </a:graphic>
                      </wp:inline>
                    </w:drawing>
                  </w:r>
                </w:p>
                <w:p>
                  <w:pPr>
                    <w:numPr>
                      <w:ilvl w:val="0"/>
                      <w:numId w:val="5"/>
                    </w:numPr>
                    <w:jc w:val="left"/>
                    <w:rPr>
                      <w:rFonts w:ascii="Times New Roman" w:hAnsi="Times New Roman"/>
                      <w:kern w:val="0"/>
                      <w:szCs w:val="21"/>
                    </w:rPr>
                  </w:pPr>
                  <w:r>
                    <w:rPr>
                      <w:rFonts w:hint="eastAsia" w:ascii="Times New Roman" w:hAnsi="Times New Roman"/>
                      <w:kern w:val="0"/>
                      <w:szCs w:val="21"/>
                    </w:rPr>
                    <w:t>Learn the following words and phrases: tucker, billy cans, indigenous group and non-indigenous people.</w:t>
                  </w:r>
                </w:p>
              </w:tc>
              <w:tc>
                <w:tcPr>
                  <w:tcW w:w="3091" w:type="dxa"/>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本活动旨在通过配对的方式补充主题学习所需的背景知识，铺垫新语言，如</w:t>
                  </w:r>
                  <w:r>
                    <w:rPr>
                      <w:rFonts w:ascii="Times New Roman" w:hAnsi="Times New Roman"/>
                      <w:kern w:val="0"/>
                      <w:szCs w:val="21"/>
                    </w:rPr>
                    <w:t>tucker，billy cans</w:t>
                  </w:r>
                  <w:r>
                    <w:rPr>
                      <w:rFonts w:hint="eastAsia" w:ascii="Times New Roman" w:hAnsi="Times New Roman"/>
                      <w:kern w:val="0"/>
                      <w:szCs w:val="21"/>
                    </w:rPr>
                    <w:t xml:space="preserve">, </w:t>
                  </w:r>
                  <w:r>
                    <w:rPr>
                      <w:rFonts w:ascii="Times New Roman" w:hAnsi="Times New Roman"/>
                      <w:kern w:val="0"/>
                      <w:szCs w:val="21"/>
                    </w:rPr>
                    <w:t>indigenous</w:t>
                  </w:r>
                  <w:r>
                    <w:rPr>
                      <w:rFonts w:hint="eastAsia" w:asciiTheme="minorEastAsia" w:hAnsiTheme="minorEastAsia" w:cstheme="minorEastAsia"/>
                      <w:kern w:val="0"/>
                      <w:szCs w:val="21"/>
                    </w:rPr>
                    <w:t>等，帮助学生感知节日的参与者和内容等。此步骤为实现目标1做准备。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Align w:val="center"/>
                </w:tcPr>
                <w:p>
                  <w:pPr>
                    <w:ind w:firstLine="0" w:firstLineChars="0"/>
                    <w:rPr>
                      <w:rFonts w:ascii="Times New Roman" w:hAnsi="Times New Roman"/>
                      <w:bCs/>
                      <w:kern w:val="0"/>
                      <w:szCs w:val="21"/>
                    </w:rPr>
                  </w:pPr>
                  <w:r>
                    <w:rPr>
                      <w:rFonts w:ascii="Times New Roman" w:hAnsi="Times New Roman"/>
                      <w:bCs/>
                      <w:kern w:val="0"/>
                      <w:szCs w:val="21"/>
                    </w:rPr>
                    <w:t>Step 3</w:t>
                  </w:r>
                </w:p>
                <w:p>
                  <w:pPr>
                    <w:ind w:firstLine="0" w:firstLineChars="0"/>
                    <w:rPr>
                      <w:rFonts w:ascii="Times New Roman" w:hAnsi="Times New Roman"/>
                      <w:bCs/>
                      <w:kern w:val="0"/>
                      <w:szCs w:val="21"/>
                    </w:rPr>
                  </w:pPr>
                  <w:r>
                    <w:rPr>
                      <w:rFonts w:ascii="Times New Roman" w:hAnsi="Times New Roman"/>
                      <w:bCs/>
                      <w:kern w:val="0"/>
                      <w:szCs w:val="21"/>
                    </w:rPr>
                    <w:t>Watch the  video clip</w:t>
                  </w:r>
                </w:p>
                <w:p>
                  <w:pPr>
                    <w:jc w:val="center"/>
                    <w:rPr>
                      <w:rFonts w:ascii="Times New Roman" w:hAnsi="Times New Roman"/>
                      <w:bCs/>
                      <w:kern w:val="0"/>
                      <w:szCs w:val="21"/>
                    </w:rPr>
                  </w:pPr>
                </w:p>
              </w:tc>
              <w:tc>
                <w:tcPr>
                  <w:tcW w:w="4500" w:type="dxa"/>
                </w:tcPr>
                <w:p>
                  <w:pPr>
                    <w:numPr>
                      <w:ilvl w:val="0"/>
                      <w:numId w:val="6"/>
                    </w:numPr>
                    <w:rPr>
                      <w:rFonts w:ascii="Times New Roman" w:hAnsi="Times New Roman"/>
                    </w:rPr>
                  </w:pPr>
                  <w:r>
                    <w:rPr>
                      <w:rFonts w:ascii="Times New Roman" w:hAnsi="Times New Roman"/>
                    </w:rPr>
                    <w:t xml:space="preserve">Watch the video and check if their predictions are correct. </w:t>
                  </w:r>
                </w:p>
                <w:p>
                  <w:pPr>
                    <w:rPr>
                      <w:rFonts w:ascii="Times New Roman" w:hAnsi="Times New Roman"/>
                    </w:rPr>
                  </w:pPr>
                  <w:r>
                    <w:rPr>
                      <w:rFonts w:ascii="Times New Roman" w:hAnsi="Times New Roman"/>
                    </w:rPr>
                    <w:t>2. Get a general idea of the festival.</w:t>
                  </w:r>
                </w:p>
                <w:p>
                  <w:pPr>
                    <w:rPr>
                      <w:rFonts w:ascii="Times New Roman" w:hAnsi="Times New Roman"/>
                    </w:rPr>
                  </w:pPr>
                  <w:r>
                    <w:rPr>
                      <w:rFonts w:ascii="Times New Roman" w:hAnsi="Times New Roman"/>
                    </w:rPr>
                    <w:t>3. Check if they have match the words and phrases correctly.</w:t>
                  </w:r>
                </w:p>
                <w:p>
                  <w:pPr>
                    <w:ind w:left="0" w:leftChars="0" w:firstLine="0" w:firstLineChars="0"/>
                    <w:rPr>
                      <w:rFonts w:ascii="Times New Roman" w:hAnsi="Times New Roman"/>
                    </w:rPr>
                  </w:pPr>
                </w:p>
              </w:tc>
              <w:tc>
                <w:tcPr>
                  <w:tcW w:w="3091" w:type="dxa"/>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本活动旨在让学生通过观看视频并基于自己的推测，自上而下地把握视频的大意.直观了解</w:t>
                  </w:r>
                  <w:r>
                    <w:rPr>
                      <w:rFonts w:hint="eastAsia" w:ascii="Times New Roman" w:hAnsi="Times New Roman"/>
                      <w:kern w:val="0"/>
                      <w:szCs w:val="21"/>
                    </w:rPr>
                    <w:t>the Mbantua Festival</w:t>
                  </w:r>
                  <w:r>
                    <w:rPr>
                      <w:rFonts w:hint="eastAsia" w:asciiTheme="minorEastAsia" w:hAnsiTheme="minorEastAsia" w:cstheme="minorEastAsia"/>
                      <w:kern w:val="0"/>
                      <w:szCs w:val="21"/>
                    </w:rPr>
                    <w:t>的举办的原因、开展的活动及其意义。经此步骤，实现目标1。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Align w:val="center"/>
                </w:tcPr>
                <w:p>
                  <w:pPr>
                    <w:ind w:firstLine="0" w:firstLineChars="0"/>
                    <w:jc w:val="left"/>
                    <w:rPr>
                      <w:rFonts w:ascii="Times New Roman" w:hAnsi="Times New Roman"/>
                      <w:bCs/>
                      <w:kern w:val="0"/>
                      <w:szCs w:val="21"/>
                    </w:rPr>
                  </w:pPr>
                  <w:r>
                    <w:rPr>
                      <w:rFonts w:hint="eastAsia" w:ascii="Times New Roman" w:hAnsi="Times New Roman"/>
                      <w:bCs/>
                      <w:kern w:val="0"/>
                      <w:szCs w:val="21"/>
                    </w:rPr>
                    <w:t>Step 4</w:t>
                  </w:r>
                </w:p>
                <w:p>
                  <w:pPr>
                    <w:ind w:firstLine="0" w:firstLineChars="0"/>
                    <w:jc w:val="left"/>
                    <w:rPr>
                      <w:rFonts w:ascii="Times New Roman" w:hAnsi="Times New Roman"/>
                      <w:bCs/>
                      <w:kern w:val="0"/>
                      <w:szCs w:val="21"/>
                    </w:rPr>
                  </w:pPr>
                  <w:r>
                    <w:rPr>
                      <w:rFonts w:hint="eastAsia" w:ascii="Times New Roman" w:hAnsi="Times New Roman"/>
                      <w:bCs/>
                      <w:kern w:val="0"/>
                      <w:szCs w:val="21"/>
                    </w:rPr>
                    <w:t>Watch the video clip  twice</w:t>
                  </w:r>
                </w:p>
                <w:p>
                  <w:pPr>
                    <w:jc w:val="center"/>
                    <w:rPr>
                      <w:rFonts w:ascii="Times New Roman" w:hAnsi="Times New Roman"/>
                      <w:bCs/>
                      <w:kern w:val="0"/>
                      <w:szCs w:val="21"/>
                    </w:rPr>
                  </w:pPr>
                </w:p>
              </w:tc>
              <w:tc>
                <w:tcPr>
                  <w:tcW w:w="4500" w:type="dxa"/>
                </w:tcPr>
                <w:p>
                  <w:pPr>
                    <w:numPr>
                      <w:ilvl w:val="0"/>
                      <w:numId w:val="7"/>
                    </w:numPr>
                    <w:rPr>
                      <w:rFonts w:ascii="Times New Roman" w:hAnsi="Times New Roman"/>
                      <w:kern w:val="0"/>
                      <w:szCs w:val="21"/>
                    </w:rPr>
                  </w:pPr>
                  <w:r>
                    <w:rPr>
                      <w:rFonts w:hint="eastAsia" w:ascii="Times New Roman" w:hAnsi="Times New Roman"/>
                      <w:kern w:val="0"/>
                      <w:szCs w:val="21"/>
                    </w:rPr>
                    <w:t>Watch and f</w:t>
                  </w:r>
                  <w:r>
                    <w:rPr>
                      <w:rFonts w:ascii="Times New Roman" w:hAnsi="Times New Roman"/>
                      <w:kern w:val="0"/>
                      <w:szCs w:val="21"/>
                    </w:rPr>
                    <w:t xml:space="preserve">inish the mind map with detailed information taken down from the video. </w:t>
                  </w:r>
                </w:p>
                <w:p>
                  <w:pPr>
                    <w:pStyle w:val="2"/>
                    <w:ind w:firstLine="0" w:firstLineChars="0"/>
                    <w:jc w:val="both"/>
                  </w:pPr>
                  <w:bookmarkStart w:id="2" w:name="_GoBack"/>
                  <w:r>
                    <w:rPr>
                      <w:rFonts w:hint="eastAsia" w:eastAsia="宋体"/>
                    </w:rPr>
                    <w:drawing>
                      <wp:anchor distT="0" distB="0" distL="114300" distR="114300" simplePos="0" relativeHeight="251661312" behindDoc="0" locked="0" layoutInCell="1" allowOverlap="1">
                        <wp:simplePos x="0" y="0"/>
                        <wp:positionH relativeFrom="column">
                          <wp:posOffset>82550</wp:posOffset>
                        </wp:positionH>
                        <wp:positionV relativeFrom="paragraph">
                          <wp:posOffset>196215</wp:posOffset>
                        </wp:positionV>
                        <wp:extent cx="2345055" cy="3170555"/>
                        <wp:effectExtent l="0" t="0" r="17145" b="10795"/>
                        <wp:wrapSquare wrapText="bothSides"/>
                        <wp:docPr id="4" name="图片 4" descr="294C61E1-1D9C-42b5-85E1-CCAD0F35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94C61E1-1D9C-42b5-85E1-CCAD0F358709"/>
                                <pic:cNvPicPr>
                                  <a:picLocks noChangeAspect="1"/>
                                </pic:cNvPicPr>
                              </pic:nvPicPr>
                              <pic:blipFill>
                                <a:blip r:embed="rId9"/>
                                <a:stretch>
                                  <a:fillRect/>
                                </a:stretch>
                              </pic:blipFill>
                              <pic:spPr>
                                <a:xfrm>
                                  <a:off x="0" y="0"/>
                                  <a:ext cx="2345055" cy="3170555"/>
                                </a:xfrm>
                                <a:prstGeom prst="rect">
                                  <a:avLst/>
                                </a:prstGeom>
                              </pic:spPr>
                            </pic:pic>
                          </a:graphicData>
                        </a:graphic>
                      </wp:anchor>
                    </w:drawing>
                  </w:r>
                  <w:bookmarkEnd w:id="2"/>
                </w:p>
                <w:p>
                  <w:pPr>
                    <w:numPr>
                      <w:ilvl w:val="0"/>
                      <w:numId w:val="7"/>
                    </w:numPr>
                    <w:rPr>
                      <w:rFonts w:ascii="Times New Roman" w:hAnsi="Times New Roman"/>
                      <w:kern w:val="0"/>
                      <w:szCs w:val="21"/>
                    </w:rPr>
                  </w:pPr>
                  <w:r>
                    <w:rPr>
                      <w:rFonts w:ascii="Times New Roman" w:hAnsi="Times New Roman"/>
                      <w:kern w:val="0"/>
                      <w:szCs w:val="21"/>
                    </w:rPr>
                    <w:t>Relate</w:t>
                  </w:r>
                  <w:r>
                    <w:rPr>
                      <w:rFonts w:hint="eastAsia" w:ascii="Times New Roman" w:hAnsi="Times New Roman"/>
                      <w:kern w:val="0"/>
                      <w:szCs w:val="21"/>
                    </w:rPr>
                    <w:t xml:space="preserve"> the information on the mind map to have a complete picture of the festival.</w:t>
                  </w:r>
                </w:p>
              </w:tc>
              <w:tc>
                <w:tcPr>
                  <w:tcW w:w="3091" w:type="dxa"/>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本活动旨在让引导学生采用自下而上的策略，在观看视频时获取细节信息完成思维导图，以便检验、证实或修正预测。并连接思维导图的信息，构建有关该节日举办的原因、开展的活动及其意义的信息结构图，此步骤实现目标2，同时为目标3做准备。</w:t>
                  </w:r>
                </w:p>
                <w:p>
                  <w:pPr>
                    <w:jc w:val="left"/>
                    <w:rPr>
                      <w:rFonts w:asciiTheme="minorEastAsia" w:hAnsiTheme="minorEastAsia" w:cs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Align w:val="center"/>
                </w:tcPr>
                <w:p>
                  <w:pPr>
                    <w:ind w:firstLine="0" w:firstLineChars="0"/>
                    <w:jc w:val="left"/>
                    <w:rPr>
                      <w:rFonts w:ascii="Times New Roman" w:hAnsi="Times New Roman"/>
                      <w:bCs/>
                      <w:kern w:val="0"/>
                      <w:szCs w:val="21"/>
                    </w:rPr>
                  </w:pPr>
                  <w:r>
                    <w:rPr>
                      <w:rFonts w:hint="eastAsia" w:ascii="Times New Roman" w:hAnsi="Times New Roman"/>
                      <w:bCs/>
                      <w:kern w:val="0"/>
                      <w:szCs w:val="21"/>
                    </w:rPr>
                    <w:t>Step 5</w:t>
                  </w:r>
                </w:p>
                <w:p>
                  <w:pPr>
                    <w:ind w:firstLine="0" w:firstLineChars="0"/>
                    <w:jc w:val="left"/>
                    <w:rPr>
                      <w:rFonts w:ascii="Times New Roman" w:hAnsi="Times New Roman"/>
                      <w:bCs/>
                      <w:kern w:val="0"/>
                      <w:szCs w:val="21"/>
                    </w:rPr>
                  </w:pPr>
                  <w:r>
                    <w:rPr>
                      <w:rFonts w:hint="eastAsia" w:ascii="Times New Roman" w:hAnsi="Times New Roman"/>
                      <w:bCs/>
                      <w:kern w:val="0"/>
                      <w:szCs w:val="21"/>
                    </w:rPr>
                    <w:t xml:space="preserve">Critical </w:t>
                  </w:r>
                </w:p>
                <w:p>
                  <w:pPr>
                    <w:ind w:firstLine="0" w:firstLineChars="0"/>
                    <w:jc w:val="left"/>
                  </w:pPr>
                  <w:r>
                    <w:rPr>
                      <w:rFonts w:hint="eastAsia" w:ascii="Times New Roman" w:hAnsi="Times New Roman"/>
                      <w:bCs/>
                      <w:kern w:val="0"/>
                      <w:szCs w:val="21"/>
                    </w:rPr>
                    <w:t>thinking</w:t>
                  </w:r>
                </w:p>
              </w:tc>
              <w:tc>
                <w:tcPr>
                  <w:tcW w:w="4500" w:type="dxa"/>
                </w:tcPr>
                <w:p>
                  <w:pPr>
                    <w:ind w:firstLine="0" w:firstLineChars="0"/>
                    <w:rPr>
                      <w:rFonts w:ascii="Times New Roman" w:hAnsi="Times New Roman"/>
                      <w:kern w:val="0"/>
                      <w:szCs w:val="21"/>
                    </w:rPr>
                  </w:pPr>
                  <w:r>
                    <w:rPr>
                      <w:rFonts w:hint="eastAsia"/>
                    </w:rPr>
                    <w:t>T</w:t>
                  </w:r>
                  <w:r>
                    <w:rPr>
                      <w:rFonts w:hint="eastAsia" w:ascii="Times New Roman" w:hAnsi="Times New Roman"/>
                      <w:kern w:val="0"/>
                      <w:szCs w:val="21"/>
                    </w:rPr>
                    <w:t>hinking about the following questions to gain a deeper insight into the festival.</w:t>
                  </w:r>
                </w:p>
                <w:p>
                  <w:pPr>
                    <w:rPr>
                      <w:rFonts w:ascii="Times New Roman" w:hAnsi="Times New Roman"/>
                      <w:kern w:val="0"/>
                      <w:szCs w:val="21"/>
                    </w:rPr>
                  </w:pPr>
                  <w:r>
                    <w:rPr>
                      <w:rFonts w:ascii="Times New Roman" w:hAnsi="Times New Roman"/>
                      <w:kern w:val="0"/>
                      <w:szCs w:val="21"/>
                    </w:rPr>
                    <w:t xml:space="preserve">1.What can learn from the sentence “... it's presenting an alternative picture of a </w:t>
                  </w:r>
                </w:p>
                <w:p>
                  <w:pPr>
                    <w:ind w:firstLine="0" w:firstLineChars="0"/>
                    <w:rPr>
                      <w:rFonts w:ascii="Times New Roman" w:hAnsi="Times New Roman"/>
                      <w:kern w:val="0"/>
                      <w:szCs w:val="21"/>
                    </w:rPr>
                  </w:pPr>
                  <w:r>
                    <w:rPr>
                      <w:rFonts w:ascii="Times New Roman" w:hAnsi="Times New Roman"/>
                      <w:kern w:val="0"/>
                      <w:szCs w:val="21"/>
                    </w:rPr>
                    <w:t xml:space="preserve">national story which can look very different for black and white Australians” ? </w:t>
                  </w:r>
                </w:p>
                <w:p>
                  <w:pPr>
                    <w:rPr>
                      <w:rFonts w:ascii="Times New Roman" w:hAnsi="Times New Roman"/>
                      <w:kern w:val="0"/>
                      <w:szCs w:val="21"/>
                    </w:rPr>
                  </w:pPr>
                  <w:r>
                    <w:rPr>
                      <w:rFonts w:ascii="Times New Roman" w:hAnsi="Times New Roman"/>
                      <w:kern w:val="0"/>
                      <w:szCs w:val="21"/>
                    </w:rPr>
                    <w:t>2.What is the significance of sharing indigenous stories through song and dance of this festival?</w:t>
                  </w:r>
                </w:p>
                <w:p>
                  <w:pPr>
                    <w:rPr>
                      <w:rFonts w:ascii="Times New Roman" w:hAnsi="Times New Roman"/>
                      <w:kern w:val="0"/>
                      <w:szCs w:val="21"/>
                    </w:rPr>
                  </w:pPr>
                  <w:r>
                    <w:rPr>
                      <w:rFonts w:ascii="Times New Roman" w:hAnsi="Times New Roman"/>
                      <w:kern w:val="0"/>
                      <w:szCs w:val="21"/>
                    </w:rPr>
                    <w:t xml:space="preserve">3.Why is it vital of non-indigenous Australians to appreciate every facet of this </w:t>
                  </w:r>
                </w:p>
                <w:p>
                  <w:pPr>
                    <w:ind w:firstLine="0" w:firstLineChars="0"/>
                    <w:rPr>
                      <w:rFonts w:ascii="Times New Roman" w:hAnsi="Times New Roman"/>
                      <w:kern w:val="0"/>
                      <w:szCs w:val="21"/>
                    </w:rPr>
                  </w:pPr>
                  <w:r>
                    <w:rPr>
                      <w:rFonts w:ascii="Times New Roman" w:hAnsi="Times New Roman"/>
                      <w:kern w:val="0"/>
                      <w:szCs w:val="21"/>
                    </w:rPr>
                    <w:t>ancient culture?</w:t>
                  </w:r>
                </w:p>
                <w:p>
                  <w:pPr>
                    <w:rPr>
                      <w:rFonts w:ascii="Times New Roman" w:hAnsi="Times New Roman"/>
                      <w:kern w:val="0"/>
                      <w:szCs w:val="21"/>
                    </w:rPr>
                  </w:pPr>
                  <w:r>
                    <w:rPr>
                      <w:rFonts w:ascii="Times New Roman" w:hAnsi="Times New Roman"/>
                      <w:kern w:val="0"/>
                      <w:szCs w:val="21"/>
                    </w:rPr>
                    <w:t xml:space="preserve">4.What role does the engagement of indigenous youth play in preserving their </w:t>
                  </w:r>
                </w:p>
                <w:p>
                  <w:pPr>
                    <w:ind w:firstLine="0" w:firstLineChars="0"/>
                    <w:rPr>
                      <w:rFonts w:ascii="Times New Roman" w:hAnsi="Times New Roman"/>
                      <w:kern w:val="0"/>
                      <w:szCs w:val="21"/>
                    </w:rPr>
                  </w:pPr>
                  <w:r>
                    <w:rPr>
                      <w:rFonts w:ascii="Times New Roman" w:hAnsi="Times New Roman"/>
                      <w:kern w:val="0"/>
                      <w:szCs w:val="21"/>
                    </w:rPr>
                    <w:t>heritage?</w:t>
                  </w:r>
                </w:p>
                <w:p>
                  <w:r>
                    <w:rPr>
                      <w:rFonts w:ascii="Times New Roman" w:hAnsi="Times New Roman"/>
                      <w:kern w:val="0"/>
                      <w:szCs w:val="21"/>
                    </w:rPr>
                    <w:t>5.In what ways does the festival bring people closer together and foster a sense of unity, even if only for a few days?</w:t>
                  </w:r>
                </w:p>
              </w:tc>
              <w:tc>
                <w:tcPr>
                  <w:tcW w:w="3091" w:type="dxa"/>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本活动旨在让引导学生结合从视频中获取的信息和所完成的思维导图信息结构图，进一步批判性地思考其意义及保护文化的方法，在此过程中提升文化保护意识。为实现目标3做准备。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Align w:val="center"/>
                </w:tcPr>
                <w:p>
                  <w:pPr>
                    <w:ind w:firstLine="0" w:firstLineChars="0"/>
                    <w:rPr>
                      <w:rFonts w:ascii="Times New Roman" w:hAnsi="Times New Roman"/>
                      <w:bCs/>
                      <w:kern w:val="0"/>
                      <w:szCs w:val="21"/>
                    </w:rPr>
                  </w:pPr>
                  <w:r>
                    <w:rPr>
                      <w:rFonts w:hint="eastAsia" w:ascii="Times New Roman" w:hAnsi="Times New Roman"/>
                      <w:bCs/>
                      <w:kern w:val="0"/>
                      <w:szCs w:val="21"/>
                    </w:rPr>
                    <w:t>Step 6</w:t>
                  </w:r>
                </w:p>
                <w:p>
                  <w:pPr>
                    <w:ind w:firstLine="0" w:firstLineChars="0"/>
                    <w:rPr>
                      <w:rFonts w:ascii="Times New Roman" w:hAnsi="Times New Roman"/>
                      <w:bCs/>
                      <w:kern w:val="0"/>
                      <w:szCs w:val="21"/>
                    </w:rPr>
                  </w:pPr>
                  <w:r>
                    <w:rPr>
                      <w:rFonts w:hint="eastAsia" w:ascii="Times New Roman" w:hAnsi="Times New Roman"/>
                      <w:bCs/>
                      <w:kern w:val="0"/>
                      <w:szCs w:val="21"/>
                    </w:rPr>
                    <w:t>Give some advice</w:t>
                  </w:r>
                </w:p>
              </w:tc>
              <w:tc>
                <w:tcPr>
                  <w:tcW w:w="4500" w:type="dxa"/>
                </w:tcPr>
                <w:p>
                  <w:pPr>
                    <w:rPr>
                      <w:rFonts w:ascii="Times New Roman" w:hAnsi="Times New Roman"/>
                      <w:kern w:val="0"/>
                      <w:szCs w:val="21"/>
                    </w:rPr>
                  </w:pPr>
                  <w:r>
                    <w:rPr>
                      <w:rFonts w:hint="eastAsia" w:ascii="Times New Roman" w:hAnsi="Times New Roman"/>
                      <w:kern w:val="0"/>
                      <w:szCs w:val="21"/>
                    </w:rPr>
                    <w:t xml:space="preserve">As we know, China has 55 ethnic minorities. But some are slipping. Would you please give some suggestions on how to draw people to appreciate every facet of the culture and what role should the youth play in preserving their heritage? </w:t>
                  </w:r>
                </w:p>
                <w:p>
                  <w:pPr>
                    <w:numPr>
                      <w:ilvl w:val="0"/>
                      <w:numId w:val="8"/>
                    </w:numPr>
                    <w:rPr>
                      <w:rFonts w:ascii="Times New Roman" w:hAnsi="Times New Roman"/>
                      <w:kern w:val="0"/>
                      <w:szCs w:val="21"/>
                    </w:rPr>
                  </w:pPr>
                  <w:r>
                    <w:rPr>
                      <w:rFonts w:hint="eastAsia" w:ascii="Times New Roman" w:hAnsi="Times New Roman"/>
                      <w:kern w:val="0"/>
                      <w:szCs w:val="21"/>
                    </w:rPr>
                    <w:t xml:space="preserve">Please write down your ideas in 100 words. </w:t>
                  </w:r>
                </w:p>
                <w:p>
                  <w:pPr>
                    <w:rPr>
                      <w:rFonts w:ascii="Times New Roman" w:hAnsi="Times New Roman"/>
                      <w:kern w:val="0"/>
                      <w:szCs w:val="21"/>
                    </w:rPr>
                  </w:pPr>
                  <w:r>
                    <w:rPr>
                      <w:rFonts w:ascii="Times New Roman" w:hAnsi="Times New Roman"/>
                      <w:kern w:val="0"/>
                      <w:szCs w:val="21"/>
                    </w:rPr>
                    <w:t xml:space="preserve">2. Exchange </w:t>
                  </w:r>
                  <w:r>
                    <w:rPr>
                      <w:rFonts w:hint="eastAsia" w:ascii="Times New Roman" w:hAnsi="Times New Roman"/>
                      <w:kern w:val="0"/>
                      <w:szCs w:val="21"/>
                    </w:rPr>
                    <w:t>the</w:t>
                  </w:r>
                  <w:r>
                    <w:rPr>
                      <w:rFonts w:ascii="Times New Roman" w:hAnsi="Times New Roman"/>
                      <w:kern w:val="0"/>
                      <w:szCs w:val="21"/>
                    </w:rPr>
                    <w:t xml:space="preserve"> draft with the partner and polish it before making the presentation in public.</w:t>
                  </w:r>
                </w:p>
              </w:tc>
              <w:tc>
                <w:tcPr>
                  <w:tcW w:w="3091" w:type="dxa"/>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本活动旨在引导学生迁移运用，即基于对澳大利亚土著人举办的节日及其影响的学习，迁移应用到我国少数民族文化的学习和保护中来，以期提升人们的文化保护意识。经此步骤，实现目标3。</w:t>
                  </w:r>
                </w:p>
              </w:tc>
            </w:tr>
          </w:tbl>
          <w:p>
            <w:pPr>
              <w:pStyle w:val="2"/>
              <w:ind w:firstLine="643"/>
            </w:pPr>
          </w:p>
        </w:tc>
      </w:tr>
    </w:tbl>
    <w:p>
      <w:pPr>
        <w:ind w:firstLine="0" w:firstLineChars="0"/>
        <w:jc w:val="left"/>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2DD5"/>
    <w:multiLevelType w:val="singleLevel"/>
    <w:tmpl w:val="A19D2DD5"/>
    <w:lvl w:ilvl="0" w:tentative="0">
      <w:start w:val="1"/>
      <w:numFmt w:val="decimal"/>
      <w:suff w:val="space"/>
      <w:lvlText w:val="%1."/>
      <w:lvlJc w:val="left"/>
    </w:lvl>
  </w:abstractNum>
  <w:abstractNum w:abstractNumId="1">
    <w:nsid w:val="BC32C719"/>
    <w:multiLevelType w:val="singleLevel"/>
    <w:tmpl w:val="BC32C719"/>
    <w:lvl w:ilvl="0" w:tentative="0">
      <w:start w:val="1"/>
      <w:numFmt w:val="decimal"/>
      <w:suff w:val="space"/>
      <w:lvlText w:val="%1."/>
      <w:lvlJc w:val="left"/>
    </w:lvl>
  </w:abstractNum>
  <w:abstractNum w:abstractNumId="2">
    <w:nsid w:val="D2A5667D"/>
    <w:multiLevelType w:val="singleLevel"/>
    <w:tmpl w:val="D2A5667D"/>
    <w:lvl w:ilvl="0" w:tentative="0">
      <w:start w:val="1"/>
      <w:numFmt w:val="decimal"/>
      <w:suff w:val="space"/>
      <w:lvlText w:val="%1."/>
      <w:lvlJc w:val="left"/>
    </w:lvl>
  </w:abstractNum>
  <w:abstractNum w:abstractNumId="3">
    <w:nsid w:val="0CF75F34"/>
    <w:multiLevelType w:val="singleLevel"/>
    <w:tmpl w:val="0CF75F34"/>
    <w:lvl w:ilvl="0" w:tentative="0">
      <w:start w:val="1"/>
      <w:numFmt w:val="decimal"/>
      <w:suff w:val="space"/>
      <w:lvlText w:val="%1."/>
      <w:lvlJc w:val="left"/>
    </w:lvl>
  </w:abstractNum>
  <w:abstractNum w:abstractNumId="4">
    <w:nsid w:val="18FD8BB4"/>
    <w:multiLevelType w:val="singleLevel"/>
    <w:tmpl w:val="18FD8BB4"/>
    <w:lvl w:ilvl="0" w:tentative="0">
      <w:start w:val="1"/>
      <w:numFmt w:val="decimal"/>
      <w:suff w:val="space"/>
      <w:lvlText w:val="%1."/>
      <w:lvlJc w:val="left"/>
    </w:lvl>
  </w:abstractNum>
  <w:abstractNum w:abstractNumId="5">
    <w:nsid w:val="2BE334AB"/>
    <w:multiLevelType w:val="singleLevel"/>
    <w:tmpl w:val="2BE334AB"/>
    <w:lvl w:ilvl="0" w:tentative="0">
      <w:start w:val="1"/>
      <w:numFmt w:val="decimal"/>
      <w:suff w:val="space"/>
      <w:lvlText w:val="%1."/>
      <w:lvlJc w:val="left"/>
    </w:lvl>
  </w:abstractNum>
  <w:abstractNum w:abstractNumId="6">
    <w:nsid w:val="2DB0528E"/>
    <w:multiLevelType w:val="singleLevel"/>
    <w:tmpl w:val="2DB0528E"/>
    <w:lvl w:ilvl="0" w:tentative="0">
      <w:start w:val="1"/>
      <w:numFmt w:val="decimal"/>
      <w:lvlText w:val="%1."/>
      <w:lvlJc w:val="left"/>
      <w:pPr>
        <w:tabs>
          <w:tab w:val="left" w:pos="312"/>
        </w:tabs>
      </w:pPr>
    </w:lvl>
  </w:abstractNum>
  <w:abstractNum w:abstractNumId="7">
    <w:nsid w:val="6CEAC227"/>
    <w:multiLevelType w:val="singleLevel"/>
    <w:tmpl w:val="6CEAC227"/>
    <w:lvl w:ilvl="0" w:tentative="0">
      <w:start w:val="1"/>
      <w:numFmt w:val="decimal"/>
      <w:suff w:val="space"/>
      <w:lvlText w:val="%1."/>
      <w:lvlJc w:val="left"/>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 w:name="KY_MEDREF_DOCUID" w:val="{4C3059F3-71E3-4270-B5BD-7409576DD8FF}"/>
    <w:docVar w:name="KY_MEDREF_VERSION" w:val="3"/>
  </w:docVars>
  <w:rsids>
    <w:rsidRoot w:val="00307394"/>
    <w:rsid w:val="00012BEE"/>
    <w:rsid w:val="000B7908"/>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151FC"/>
    <w:rsid w:val="0044033A"/>
    <w:rsid w:val="00443BBF"/>
    <w:rsid w:val="00455B23"/>
    <w:rsid w:val="00457A19"/>
    <w:rsid w:val="004608C0"/>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3602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22943"/>
    <w:rsid w:val="00A3318A"/>
    <w:rsid w:val="00A34375"/>
    <w:rsid w:val="00A36F51"/>
    <w:rsid w:val="00A4157E"/>
    <w:rsid w:val="00A416C7"/>
    <w:rsid w:val="00A65CCA"/>
    <w:rsid w:val="00A706C4"/>
    <w:rsid w:val="00A76337"/>
    <w:rsid w:val="00A803F8"/>
    <w:rsid w:val="00A93EDA"/>
    <w:rsid w:val="00AD3D65"/>
    <w:rsid w:val="00AF08FE"/>
    <w:rsid w:val="00B40D42"/>
    <w:rsid w:val="00B61602"/>
    <w:rsid w:val="00B6674A"/>
    <w:rsid w:val="00B75672"/>
    <w:rsid w:val="00B92007"/>
    <w:rsid w:val="00B95D2E"/>
    <w:rsid w:val="00BB406A"/>
    <w:rsid w:val="00C02FC6"/>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3FC4"/>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114F7319"/>
    <w:rsid w:val="1BE07E7B"/>
    <w:rsid w:val="244C27E4"/>
    <w:rsid w:val="258D201C"/>
    <w:rsid w:val="3058458F"/>
    <w:rsid w:val="38942EEF"/>
    <w:rsid w:val="38EF200A"/>
    <w:rsid w:val="43862554"/>
    <w:rsid w:val="4D0D7F55"/>
    <w:rsid w:val="5466795C"/>
    <w:rsid w:val="559051F1"/>
    <w:rsid w:val="5842527A"/>
    <w:rsid w:val="58D62305"/>
    <w:rsid w:val="5A824AD7"/>
    <w:rsid w:val="5D0F2BBD"/>
    <w:rsid w:val="64A17FA6"/>
    <w:rsid w:val="6B50024B"/>
    <w:rsid w:val="6DA63EF3"/>
    <w:rsid w:val="72FA6C39"/>
    <w:rsid w:val="73EF130F"/>
    <w:rsid w:val="7CDF06E6"/>
    <w:rsid w:val="7CE9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6"/>
    <w:autoRedefine/>
    <w:semiHidden/>
    <w:unhideWhenUsed/>
    <w:qFormat/>
    <w:uiPriority w:val="99"/>
    <w:pPr>
      <w:jc w:val="left"/>
    </w:pPr>
  </w:style>
  <w:style w:type="paragraph" w:styleId="4">
    <w:name w:val="Balloon Text"/>
    <w:basedOn w:val="1"/>
    <w:link w:val="15"/>
    <w:autoRedefine/>
    <w:semiHidden/>
    <w:unhideWhenUsed/>
    <w:qFormat/>
    <w:uiPriority w:val="99"/>
    <w:pPr>
      <w:spacing w:line="240" w:lineRule="auto"/>
    </w:pPr>
    <w:rPr>
      <w:sz w:val="18"/>
      <w:szCs w:val="18"/>
    </w:rPr>
  </w:style>
  <w:style w:type="paragraph" w:styleId="5">
    <w:name w:val="footer"/>
    <w:basedOn w:val="1"/>
    <w:link w:val="14"/>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7"/>
    <w:autoRedefine/>
    <w:semiHidden/>
    <w:unhideWhenUsed/>
    <w:qFormat/>
    <w:uiPriority w:val="99"/>
    <w:rPr>
      <w:b/>
      <w:bCs/>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autoRedefine/>
    <w:semiHidden/>
    <w:unhideWhenUsed/>
    <w:qFormat/>
    <w:uiPriority w:val="99"/>
    <w:rPr>
      <w:sz w:val="21"/>
      <w:szCs w:val="21"/>
    </w:rPr>
  </w:style>
  <w:style w:type="character" w:customStyle="1" w:styleId="12">
    <w:name w:val="标题 Char"/>
    <w:basedOn w:val="10"/>
    <w:link w:val="2"/>
    <w:autoRedefine/>
    <w:qFormat/>
    <w:uiPriority w:val="10"/>
    <w:rPr>
      <w:rFonts w:asciiTheme="majorHAnsi" w:hAnsiTheme="majorHAnsi" w:eastAsiaTheme="majorEastAsia" w:cstheme="majorBidi"/>
      <w:b/>
      <w:bCs/>
      <w:sz w:val="32"/>
      <w:szCs w:val="32"/>
    </w:rPr>
  </w:style>
  <w:style w:type="character" w:customStyle="1" w:styleId="13">
    <w:name w:val="页眉 Char"/>
    <w:basedOn w:val="10"/>
    <w:link w:val="6"/>
    <w:autoRedefine/>
    <w:qFormat/>
    <w:uiPriority w:val="99"/>
    <w:rPr>
      <w:rFonts w:ascii="宋体" w:hAnsi="宋体" w:eastAsia="宋体" w:cs="Times New Roman"/>
      <w:sz w:val="18"/>
      <w:szCs w:val="18"/>
    </w:rPr>
  </w:style>
  <w:style w:type="character" w:customStyle="1" w:styleId="14">
    <w:name w:val="页脚 Char"/>
    <w:basedOn w:val="10"/>
    <w:link w:val="5"/>
    <w:autoRedefine/>
    <w:qFormat/>
    <w:uiPriority w:val="99"/>
    <w:rPr>
      <w:rFonts w:ascii="宋体" w:hAnsi="宋体" w:eastAsia="宋体" w:cs="Times New Roman"/>
      <w:sz w:val="18"/>
      <w:szCs w:val="18"/>
    </w:rPr>
  </w:style>
  <w:style w:type="character" w:customStyle="1" w:styleId="15">
    <w:name w:val="批注框文本 Char"/>
    <w:basedOn w:val="10"/>
    <w:link w:val="4"/>
    <w:autoRedefine/>
    <w:semiHidden/>
    <w:qFormat/>
    <w:uiPriority w:val="99"/>
    <w:rPr>
      <w:rFonts w:ascii="宋体" w:hAnsi="宋体" w:eastAsia="宋体" w:cs="Times New Roman"/>
      <w:sz w:val="18"/>
      <w:szCs w:val="18"/>
    </w:rPr>
  </w:style>
  <w:style w:type="character" w:customStyle="1" w:styleId="16">
    <w:name w:val="批注文字 Char"/>
    <w:basedOn w:val="10"/>
    <w:link w:val="3"/>
    <w:autoRedefine/>
    <w:semiHidden/>
    <w:qFormat/>
    <w:uiPriority w:val="99"/>
    <w:rPr>
      <w:rFonts w:ascii="宋体" w:hAnsi="宋体" w:eastAsia="宋体" w:cs="Times New Roman"/>
      <w:sz w:val="24"/>
      <w:szCs w:val="24"/>
    </w:rPr>
  </w:style>
  <w:style w:type="character" w:customStyle="1" w:styleId="17">
    <w:name w:val="批注主题 Char"/>
    <w:basedOn w:val="16"/>
    <w:link w:val="7"/>
    <w:autoRedefine/>
    <w:semiHidden/>
    <w:qFormat/>
    <w:uiPriority w:val="99"/>
    <w:rPr>
      <w:rFonts w:ascii="宋体" w:hAnsi="宋体" w:eastAsia="宋体" w:cs="Times New Roman"/>
      <w:b/>
      <w:bCs/>
      <w:sz w:val="24"/>
      <w:szCs w:val="24"/>
    </w:rPr>
  </w:style>
  <w:style w:type="paragraph" w:styleId="18">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1174</Words>
  <Characters>2525</Characters>
  <Lines>0</Lines>
  <Paragraphs>0</Paragraphs>
  <TotalTime>0</TotalTime>
  <ScaleCrop>false</ScaleCrop>
  <LinksUpToDate>false</LinksUpToDate>
  <CharactersWithSpaces>2860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2024-05-13T08:19:10Z</dcterms:created>
  <dc:creator>Administrator</dc:creator>
  <cp:lastModifiedBy>sourire</cp:lastModifiedBy>
  <dcterms:modified xsi:type="dcterms:W3CDTF">2024-05-13T08:19:54Z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9F321D950BF140C98B8FB41D9D22A14D_12</vt:lpwstr>
  </property>
</Properties>
</file>