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11760200</wp:posOffset>
            </wp:positionV>
            <wp:extent cx="304800" cy="419100"/>
            <wp:effectExtent l="0" t="0" r="0" b="762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木叶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”</w:t>
      </w:r>
    </w:p>
    <w:bookmarkEnd w:id="0"/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【教学</w:t>
      </w:r>
      <w:r>
        <w:rPr>
          <w:rFonts w:ascii="Times New Roman" w:hAnsi="Times New Roman" w:eastAsia="宋体" w:cs="Times New Roman"/>
        </w:rPr>
        <w:t>目标</w:t>
      </w:r>
      <w:r>
        <w:rPr>
          <w:rFonts w:hint="eastAsia" w:ascii="Times New Roman" w:hAnsi="Times New Roman" w:eastAsia="宋体" w:cs="Times New Roman"/>
        </w:rPr>
        <w:t>】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体会文中所举诗句的意蕴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借鉴文中观点尝试分析更多的诗句。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把握基本观点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总结主旨。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梳理文中所说“木叶”与“树叶”的不同特征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品味诗</w:t>
      </w:r>
      <w:r>
        <w:rPr>
          <w:rFonts w:hint="eastAsia" w:ascii="Times New Roman" w:hAnsi="Times New Roman" w:eastAsia="宋体" w:cs="Times New Roman"/>
        </w:rPr>
        <w:t>词意象背后的意趣。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品读文本的表达方式。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【教学过程】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一</w:t>
      </w:r>
      <w:r>
        <w:rPr>
          <w:rFonts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</w:rPr>
        <w:t>导入</w:t>
      </w:r>
      <w:r>
        <w:rPr>
          <w:rFonts w:ascii="Times New Roman" w:hAnsi="Times New Roman" w:eastAsia="宋体" w:cs="Times New Roman"/>
        </w:rPr>
        <w:t>：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在文学作品中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一个字精妙与否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足以决定作品是流光溢彩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还是黯然失色。尤其是我们的古典诗词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用简短的几个字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造就的却是丰富的情感与博大的意境。读后满口余香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却是妙处难与君说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这跟诗歌的语言是密不可分的。今天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我们就通过《说“木叶”》一文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对中国古典诗词语言的特质做一番探幽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去感受我们中华民族深厚的文化积淀。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二、</w:t>
      </w:r>
      <w:r>
        <w:rPr>
          <w:rFonts w:ascii="Times New Roman" w:hAnsi="Times New Roman" w:eastAsia="宋体" w:cs="Times New Roman"/>
        </w:rPr>
        <w:t>作者简介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0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林庚(1910—2006)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字静希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原籍福建闽侯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生于北京。现代诗人、古代文学学者、文学史家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北京大学教授。1933年毕业于清华大学中文系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后任北京大学中文系教授。既是诗人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又是学者。1933年秋出版了第一本自由体诗集《夜》</w:t>
      </w:r>
      <w:r>
        <w:rPr>
          <w:rFonts w:hint="eastAsia" w:ascii="Times New Roman" w:hAnsi="Times New Roman" w:eastAsia="宋体" w:cs="Times New Roman"/>
        </w:rPr>
        <w:t>，1934</w:t>
      </w:r>
      <w:r>
        <w:rPr>
          <w:rFonts w:ascii="Times New Roman" w:hAnsi="Times New Roman" w:eastAsia="宋体" w:cs="Times New Roman"/>
        </w:rPr>
        <w:t>年以后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他作为一名自由诗体的新诗人尝试新的格律体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先后出版了《北平情歌》《冬眠曲及其他》。作为一名学者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林庚教授的研究主要涉及唐诗、楚辞、文学史等方面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显示出诗人学者的独有特色。在唐诗和楚辞的研究中卓有建树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提出了著名的“盛唐气象”。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主要作品：《北平情歌》《冬眠曲及其他》《春野与窗》</w:t>
      </w:r>
      <w:r>
        <w:rPr>
          <w:rFonts w:hint="eastAsia" w:ascii="Times New Roman" w:hAnsi="Times New Roman" w:eastAsia="宋体" w:cs="Times New Roman"/>
        </w:rPr>
        <w:t>《问路集》。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三、</w:t>
      </w:r>
      <w:r>
        <w:rPr>
          <w:rFonts w:ascii="Times New Roman" w:hAnsi="Times New Roman" w:eastAsia="宋体" w:cs="Times New Roman"/>
        </w:rPr>
        <w:t>写作背景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20</w:t>
      </w:r>
      <w:r>
        <w:rPr>
          <w:rFonts w:ascii="Times New Roman" w:hAnsi="Times New Roman" w:eastAsia="宋体" w:cs="Times New Roman"/>
        </w:rPr>
        <w:t>世纪80年代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诗坛呈现出萎靡不振的景象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专门发表诗歌的报纸、杂志寥寥无几。针对这种现状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林庚曾说：“当代诗歌的路子不对……诗歌的语言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是艺术的语言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诗化的语言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精练的语言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需要从日常的生活语言中不断进行提炼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既不能脱离生活语言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又要超越生活语言。”他写的《说“木叶”》一文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正是通过对古代诗歌中“木”字的艺术特征的阐释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说明诗歌语言的暗示性特点。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四</w:t>
      </w:r>
      <w:r>
        <w:rPr>
          <w:rFonts w:ascii="Times New Roman" w:hAnsi="Times New Roman" w:eastAsia="宋体" w:cs="Times New Roman"/>
        </w:rPr>
        <w:t>、文学常识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jc w:val="center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文学评论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文学评</w:t>
      </w:r>
      <w:r>
        <w:rPr>
          <w:rFonts w:hint="eastAsia" w:ascii="Times New Roman" w:hAnsi="Times New Roman" w:eastAsia="宋体" w:cs="Times New Roman"/>
        </w:rPr>
        <w:t>论又叫“文艺评论”，既是指运用一定的理论和方法对各种文学现象进行探讨、体会、评价的科学研究活动，又是指反映这种研究成果的一种文章样式。其任务在于揭示艺术现象中的审美价值和思想意义，探讨艺术创作的方法和规律，提高文艺创作的水平；帮助读者正确理解作品，提高读者的艺术欣赏能力，培养健康的艺术情趣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文艺评论包括诗歌评论、小说评论、散文评论、戏剧评论、影视评论等。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五</w:t>
      </w:r>
      <w:r>
        <w:rPr>
          <w:rFonts w:ascii="Times New Roman" w:hAnsi="Times New Roman" w:eastAsia="宋体" w:cs="Times New Roman"/>
        </w:rPr>
        <w:t>、整体感知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《说“木叶”》一文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作者林庚分析了中国古典诗歌用“木叶”而不</w:t>
      </w:r>
      <w:r>
        <w:rPr>
          <w:rFonts w:hint="eastAsia" w:ascii="Times New Roman" w:hAnsi="Times New Roman" w:eastAsia="宋体" w:cs="Times New Roman"/>
        </w:rPr>
        <w:t>用“树叶”，又由“木叶”发展为“落木”的原因，深入挖掘“木叶”中“木”字所蕴含的意境，从而阐发了“诗歌语言具有暗示性”的特点。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六、</w:t>
      </w:r>
      <w:r>
        <w:rPr>
          <w:rFonts w:ascii="Times New Roman" w:hAnsi="Times New Roman" w:eastAsia="宋体" w:cs="Times New Roman"/>
        </w:rPr>
        <w:t>文本探究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阅读文本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回答下面的问题。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MingLiU_HKSCS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(1)而事实又正是这样的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自从屈原以惊人的天才</w:t>
      </w:r>
      <w:r>
        <w:rPr>
          <w:rFonts w:hint="eastAsia" w:ascii="Times New Roman" w:hAnsi="Times New Roman" w:eastAsia="宋体" w:cs="Times New Roman"/>
        </w:rPr>
        <w:t>发现了“木叶”的奥妙，此后的诗人们也就再不肯轻易把它放过。于是一用再用，熟能生巧，而在诗歌的语言中，乃又不仅限于“木叶”一词而已。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为什么说屈原是“惊人的天才”？“木叶”的奥妙何在？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“惊人的天才”是因为只有从屈原开始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才吟唱出了具有“木叶”的鲜明形象的动人诗句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这一鲜明形象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影响了此后历代诗人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许多为人传诵的诗篇正是从这里得到了启发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所以说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他是“惊人的天才”。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“</w:t>
      </w:r>
      <w:r>
        <w:rPr>
          <w:rFonts w:ascii="Times New Roman" w:hAnsi="Times New Roman" w:eastAsia="宋体" w:cs="Times New Roman"/>
        </w:rPr>
        <w:t>木叶”的奥妙何在？即第五、六段中“木叶”的暗示形象意义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使人联想到树干带有落叶的微黄与干燥之感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因此也有飘零之意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它带来了整个疏朗的清秋的气息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它是“木”与“叶”的统一、疏朗与绵密的交织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是一个迢远而情深的美丽的形象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正是那《九歌》中湘夫人的性格形象。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MingLiU_HKSCS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(2)然则“高树”则饱满</w:t>
      </w:r>
      <w:r>
        <w:rPr>
          <w:rFonts w:hint="eastAsia" w:ascii="Times New Roman" w:hAnsi="Times New Roman" w:eastAsia="宋体" w:cs="Times New Roman"/>
        </w:rPr>
        <w:t>，“</w:t>
      </w:r>
      <w:r>
        <w:rPr>
          <w:rFonts w:ascii="Times New Roman" w:hAnsi="Times New Roman" w:eastAsia="宋体" w:cs="Times New Roman"/>
        </w:rPr>
        <w:t>高木”则空阔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这就是“木”与“树”相同而又不同的地方。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如何理解这句话？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 xml:space="preserve"> “木”就是“树”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在概念上是一致的。但在形象意义上不同</w:t>
      </w:r>
      <w:r>
        <w:rPr>
          <w:rFonts w:hint="eastAsia" w:ascii="Times New Roman" w:hAnsi="Times New Roman" w:eastAsia="宋体" w:cs="Times New Roman"/>
        </w:rPr>
        <w:t>，“</w:t>
      </w:r>
      <w:r>
        <w:rPr>
          <w:rFonts w:ascii="Times New Roman" w:hAnsi="Times New Roman" w:eastAsia="宋体" w:cs="Times New Roman"/>
        </w:rPr>
        <w:t>木”一般是在秋风叶落的情景中取得鲜明的形象：空阔、单纯；而“树”则要借助树叶的多来表达饱满的感情。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MingLiU_HKSCS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(3)然则“木叶”与“落木”又还有着一定的距离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它乃是“木”与“叶”的统一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疏朗与绵密的交织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一个迢远而情深的美丽的形象。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这个“距离”指的是什么？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木叶：有落叶</w:t>
      </w:r>
      <w:r>
        <w:rPr>
          <w:rFonts w:hint="eastAsia" w:ascii="Times New Roman" w:hAnsi="Times New Roman" w:eastAsia="宋体" w:cs="Times New Roman"/>
        </w:rPr>
        <w:t>的微黄与干燥之感，因此也有飘零之意，它带来了整个疏朗的清秋的气息，它是“木”与“叶”的统一、疏朗与绵密的交织，是一个迢远而情深的美丽的形象。落木：比“木叶”更显空阔，洗净了“叶”这个字所保留的一点绵密之意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</w:rPr>
        <w:t>4)课文第五段“这暗示性仿佛是概念的影子”</w:t>
      </w:r>
      <w:r>
        <w:rPr>
          <w:rFonts w:hint="eastAsia" w:ascii="Times New Roman" w:hAnsi="Times New Roman" w:eastAsia="宋体" w:cs="Times New Roman"/>
        </w:rPr>
        <w:t>，“</w:t>
      </w:r>
      <w:r>
        <w:rPr>
          <w:rFonts w:ascii="Times New Roman" w:hAnsi="Times New Roman" w:eastAsia="宋体" w:cs="Times New Roman"/>
        </w:rPr>
        <w:t>暗示性”是指什么？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所谓“暗示性”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就是指词语的形象色彩和联想意义。从字面上讲</w:t>
      </w:r>
      <w:r>
        <w:rPr>
          <w:rFonts w:hint="eastAsia" w:ascii="Times New Roman" w:hAnsi="Times New Roman" w:eastAsia="宋体" w:cs="Times New Roman"/>
        </w:rPr>
        <w:t>，“</w:t>
      </w:r>
      <w:r>
        <w:rPr>
          <w:rFonts w:ascii="Times New Roman" w:hAnsi="Times New Roman" w:eastAsia="宋体" w:cs="Times New Roman"/>
        </w:rPr>
        <w:t>木”就是“树”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二者是同一概念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但两个词形象色彩不同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引起的联想也不同。“木”具有“木头”“木料”“木板”等的影子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或者说木质的形象色彩</w:t>
      </w:r>
      <w:r>
        <w:rPr>
          <w:rFonts w:hint="eastAsia" w:ascii="Times New Roman" w:hAnsi="Times New Roman" w:eastAsia="宋体" w:cs="Times New Roman"/>
        </w:rPr>
        <w:t>，使人更多地想起树干，而很少想到非木质的叶子。“叶”因此常被排斥到“木”的疏朗的形象之外，这排斥也就暗示着落叶。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本文是怎样进行比较分析的？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文章一个重要特征是采</w:t>
      </w:r>
      <w:r>
        <w:rPr>
          <w:rFonts w:hint="eastAsia" w:ascii="Times New Roman" w:hAnsi="Times New Roman" w:eastAsia="宋体" w:cs="Times New Roman"/>
        </w:rPr>
        <w:t>用比较分析的方法，引领读者一起进入“树叶”与“木叶”的不同意境，品味“木叶”的形象魅力。在比较分析的过程中，采用由现象到本质、由感性认识到理性认识的思维模式。先由诗句总结“木叶”出现的场合，再由此深入到诗歌语言的暗示性问题。由于作者紧扣诗句，并对诗句意境进行想象挖掘，使读者也一同进入诗歌鉴赏的境界，自然学会品味诗歌的内部和外部语言。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林庚既是一位深谙诗歌妙道的学者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也是一位畅游诗歌海洋的高手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文中大量援引古诗人关于“木叶”的诗句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揣摩一下这对于阐发道</w:t>
      </w:r>
      <w:r>
        <w:rPr>
          <w:rFonts w:hint="eastAsia" w:ascii="Times New Roman" w:hAnsi="Times New Roman" w:eastAsia="宋体" w:cs="Times New Roman"/>
        </w:rPr>
        <w:t>理起了怎样的作用。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ind w:firstLine="482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一是作引子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引出议论话题；二是作为例证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使得析理有凭有据；三是调节文气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更增添了文章的文化内涵。 </w:t>
      </w:r>
    </w:p>
    <w:p>
      <w:pPr>
        <w:pStyle w:val="3"/>
        <w:shd w:val="clear" w:color="auto" w:fill="auto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本文所阐释的是诗歌语言的暗示性问题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却拟题为“说‘木叶’”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若改为“谈谈诗歌语言的暗示性”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你以为如何？</w:t>
      </w:r>
    </w:p>
    <w:p>
      <w:pPr>
        <w:shd w:val="clear" w:color="auto" w:fill="auto"/>
        <w:tabs>
          <w:tab w:val="left" w:pos="1365"/>
        </w:tabs>
        <w:spacing w:line="360" w:lineRule="auto"/>
      </w:pPr>
      <w:r>
        <w:rPr>
          <w:rFonts w:ascii="Times New Roman" w:hAnsi="Times New Roman" w:eastAsia="宋体" w:cs="Times New Roman"/>
        </w:rPr>
        <w:t>标题若拟为“谈谈诗歌</w:t>
      </w:r>
      <w:r>
        <w:rPr>
          <w:rFonts w:hint="eastAsia" w:ascii="Times New Roman" w:hAnsi="Times New Roman" w:eastAsia="宋体" w:cs="Times New Roman"/>
        </w:rPr>
        <w:t>语言的暗示性”，整个文章的行文思路就要改变，它可能就要从理论的角度来论述，就会写成一篇理论性较强的学术论文。而标题拟为</w:t>
      </w:r>
      <w:r>
        <w:rPr>
          <w:rFonts w:ascii="Times New Roman" w:hAnsi="Times New Roman" w:eastAsia="宋体" w:cs="Times New Roman"/>
        </w:rPr>
        <w:t xml:space="preserve"> “说‘木叶’”就可以把深奥的文学理论渗透于有关“木叶”诗句的品读玩味中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化深奥为简单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化抽象为形象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既体现了作者的科学态度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也契合了读者的阅读心理。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MGQxN2JmMjExNjQwOGMxYTQwMWRmNjY1ZjYyM2MifQ=="/>
  </w:docVars>
  <w:rsids>
    <w:rsidRoot w:val="007F4478"/>
    <w:rsid w:val="000C12C8"/>
    <w:rsid w:val="000E68E3"/>
    <w:rsid w:val="0015213C"/>
    <w:rsid w:val="00175477"/>
    <w:rsid w:val="00185C95"/>
    <w:rsid w:val="001960C7"/>
    <w:rsid w:val="002C1599"/>
    <w:rsid w:val="002D03D1"/>
    <w:rsid w:val="00364BB7"/>
    <w:rsid w:val="003C064D"/>
    <w:rsid w:val="004151FC"/>
    <w:rsid w:val="00571B21"/>
    <w:rsid w:val="006A2064"/>
    <w:rsid w:val="00706ADB"/>
    <w:rsid w:val="007F4478"/>
    <w:rsid w:val="00844EC9"/>
    <w:rsid w:val="0086398F"/>
    <w:rsid w:val="00881DD8"/>
    <w:rsid w:val="00953DCE"/>
    <w:rsid w:val="00993DF5"/>
    <w:rsid w:val="00A25DBE"/>
    <w:rsid w:val="00A4361A"/>
    <w:rsid w:val="00AE74AA"/>
    <w:rsid w:val="00C02FC6"/>
    <w:rsid w:val="00DA35F8"/>
    <w:rsid w:val="00E2207D"/>
    <w:rsid w:val="00F43620"/>
    <w:rsid w:val="00F76FD3"/>
    <w:rsid w:val="00F85A0D"/>
    <w:rsid w:val="12ED12E9"/>
    <w:rsid w:val="6B8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DengXian Light" w:hAnsi="DengXian Light" w:eastAsia="DengXian Light" w:cs="Times New Roman"/>
      <w:b/>
      <w:bCs/>
      <w:sz w:val="32"/>
      <w:szCs w:val="32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semiHidden/>
    <w:unhideWhenUsed/>
    <w:qFormat/>
    <w:uiPriority w:val="99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autoRedefine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纯文本 Char"/>
    <w:basedOn w:val="8"/>
    <w:link w:val="3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2024-03-23T06:07:51Z</dcterms:created>
  <dc:creator>Administrator</dc:creator>
  <cp:lastModifiedBy>9hhy7hhy9hhys</cp:lastModifiedBy>
  <dcterms:modified xsi:type="dcterms:W3CDTF">2024-03-23T06:08:37Z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11DA46ECD04248BB80BF676BF5E99346_12</vt:lpwstr>
  </property>
</Properties>
</file>