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pPr>
        <w:spacing w:line="480" w:lineRule="exact"/>
        <w:ind w:firstLine="640" w:firstLineChars="200"/>
        <w:jc w:val="center"/>
        <w:rPr>
          <w:rFonts w:asciiTheme="minorEastAsia" w:eastAsiaTheme="minorEastAsia" w:hAnsiTheme="minorEastAsia" w:cstheme="minorEastAsia"/>
          <w:sz w:val="32"/>
          <w:szCs w:val="40"/>
        </w:rPr>
      </w:pPr>
      <w:r>
        <w:rPr>
          <w:rFonts w:asciiTheme="minorEastAsia" w:eastAsiaTheme="minorEastAsia" w:hAnsiTheme="minorEastAsia" w:cstheme="minorEastAsia" w:hint="eastAsia"/>
          <w:sz w:val="32"/>
          <w:szCs w:val="40"/>
          <w:lang w:val="en-US" w:eastAsia="zh-CN"/>
        </w:rPr>
        <w:t>高三语文</w:t>
      </w:r>
      <w:r>
        <w:rPr>
          <w:rFonts w:asciiTheme="minorEastAsia" w:eastAsiaTheme="minorEastAsia" w:hAnsiTheme="minorEastAsia" w:cstheme="minorEastAsia" w:hint="eastAsia"/>
          <w:sz w:val="32"/>
          <w:szCs w:val="40"/>
        </w:rPr>
        <w:t>一轮复习计划</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一、指导思想</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认真落实《语文教学大纲》的要求，透彻把握《高考考试大纲》的精神，深入研究和领会新课程语文学科课程标准，做好与新课程的衔接，达到全面提高学生的语文素养，确保高考有新的突破。</w:t>
      </w:r>
      <w:bookmarkStart w:id="0" w:name="_GoBack"/>
      <w:bookmarkEnd w:id="0"/>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二、方法和策略</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语文是基础性比较强的一门学科，语文成绩的提高虽然靠的是平时点点滴滴的积累。但是，第一轮复习是考生对基础知识进行全面梳理和复习的阶段，第一轮复习的好坏直接关系到高考的成败，其重要性不言而喻。因此，如何做好第一轮复习，是打赢高考的关键一战。</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第一轮复习重在全面复习，夯实基础。在认真研究近三年高考语文考试大纲和高考语文试题的基础上，结合多种对高考试题的评价报告，我们发现语文高考试题的命制出现如下特点：1、重语文能力和语文素养的考察；2、文化内涵日益增强；3、主观题所占分值比例逐年增加，客观题逐年减少；4、作文命题稳中有变。5、注重学科知识与社会知识相结。</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鉴于此，我们准备做到如下几点：</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（一）文言文阅读、古诗文阅读和名句默写</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课本复习和知识点专题复习相结合，以知识点专题复习为主线，以课本复习为辅线。课本复习主要利用早读时间和前期的上课时间，给学生制订具体可行的复习计划，由老师划重点的文言基础知识、学生自主背诵、老师课上课下检查完成。知识点专题复习主要由老师带领学生在课堂上完成。这样两线并进，有主有次，可以调动教师和学生两个积极性，最大限度地提高复习效率。</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文言文阅读——突出四个重点：</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①实词——重视积累（重点是“大纲”上规定的120个实词），巧妙推断具体语境中的词义。</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②虚词——突出重点（18个虚词），辨明用法。</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③句式翻译——直译为主，避开误区。</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④分析综合——重视人、事、理。</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对文言句式的复习，做好五个联系：①把对文言实词的理解与对词类活用的分析联系起来；②把对实词意义的理解与辨析特殊句式联系起来；③把理解文句与掌握词类活用及特殊句式联系起来；④把课外材料与课本联系起来；⑤把文言中的辨词析句与现代汉语最基本的句法分析联系起来。</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古诗文阅读——形象（人像、物象、意象）、语言（炼字、炼句）、表达技巧、情感。</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同时，诵读和练习是积累的主要方式。在早自习中要重点复习以下两个板块：①诵读高中语文教材的文言文。达到会背诵，会翻译，会解词。②诵读名句名篇。重点是《教学大纲》中规定的</w:t>
      </w:r>
      <w:r>
        <w:rPr>
          <w:rFonts w:asciiTheme="minorEastAsia" w:eastAsiaTheme="minorEastAsia" w:hAnsiTheme="minorEastAsia" w:cstheme="minorEastAsia" w:hint="eastAsia"/>
          <w:sz w:val="24"/>
          <w:szCs w:val="32"/>
          <w:lang w:val="en-US" w:eastAsia="zh-CN"/>
        </w:rPr>
        <w:t>58</w:t>
      </w:r>
      <w:r>
        <w:rPr>
          <w:rFonts w:asciiTheme="minorEastAsia" w:eastAsiaTheme="minorEastAsia" w:hAnsiTheme="minorEastAsia" w:cstheme="minorEastAsia" w:hint="eastAsia"/>
          <w:sz w:val="24"/>
          <w:szCs w:val="32"/>
        </w:rPr>
        <w:t>篇文言文及诗词曲。达到会背诵，会默写，在此基础上向教材其他背诵篇目和新课程标准推荐的篇目延伸。</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（二）语言知识的积累和语言运用相结合</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鉴于高考语文命题重主观的趋向越来越明朗。我们在复习专题时，打破常规的复习顺序，把语言知识点的积累和语言运用结合起来，即成语、病句等的专题复习穿插进行。这样既避免了单纯的语言知识积累专题复习的枯燥记忆，又保证了学生不间断的语言运用技巧的训练。有积有发，两者结合，相得益彰。</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（三）语言基本知识点的复习和作文训练相结合</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在第一轮的复习中，至少每月进行一次作文训练。(作文训练也可以和模拟考试同时进行)比如，第一次作文专门训练基础等级的“符合题意”。第二次作文专门训练“符合文体要求”。这样第一轮复习结束(一般应在2月份)，学生应该能够对高考作文的各项能力要求做到心中有数，不管作文题目如何出，能够做到以不变应万变，“手里有粮，心中不慌。”</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（四）专题知识点的复习和阅读相结合</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高三年级是至关重要的一年，时间紧，任务重，各科老师都拼命的挤占时间，很多学生都主观地给各科复习排座次，语文成为众多学生眼中的弱势学科。在语文课堂上，老师为了赶进度，完成教学任务，也忽视了阅读教学，更谈不上对学生课外阅读的指导。鉴于此我们打算每周上一次阅读课并且下发作文素材扩大他们的知识面。</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（五）专题复习和模拟考试相结合</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语文应试素质和能力是高中学生必须具备的，对面临高考的高三学生而言，这两点更加重要。根据语文的学科特点和近年高考语文试题特点，对初入高三的学生开始周期性的高考模拟训练，实践证明是可行的而且有益的。</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一轮复习侧重在梳理和建构完整、系统的知识体系，所以，它突出了一个“全”字，各考点全面铺开，无一遗漏。根据木桶短板理论可知，这些薄弱环节也许就是影响下一步提升语文成绩最关键所在，所以，要对症下药，花大力气把它补起来。具体方法是：回忆所讲，回想所做，明白要求，清楚要诀，集中精力，及时归纳，找出良策，章法不乱地进行大量的实际训练，以期二轮巩固提高。</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三、教与学</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1、高效利用时间，整理语文基础知识复习资料，做到通看一遍；整理历次练习上的语文基础知识题目，做错题归类和错误分析。</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2、文言文应结合语文教材和文言知识点复习。高一高二所学文言篇目应结合注释和平时学习笔记认真复习，做到熟悉课文；文言文课内重要实词，18个基本文言虚词以及文言句式应结合资料和习题复习整理。</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3、语文基础知识题和文言文阅读要做到至少两周练三次，如在某具体知识点上出现错误，应重新翻阅积累本，查看相关知识点。</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4、背诵默写常抓不懈，可运用理解记忆法，情景记忆法，首字(末字)记忆法，压缩记忆法等，提高背诵效率，背诵同时，加强默写。每天课前自测，内容都是历年高考考过的名句名篇，当堂默写，及时反馈，争取在默写上不丢分。</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5、诗歌阅读要从如何读懂诗词以及如何鉴赏诗词两方面着手，既要有相应的诗词知识，又要有一定语文知识（如技巧的辨认和技巧的作用），还要进一步规范答题思路和答题技巧。诗歌阅读可集中时间精力按照考点，分项进行重点突破。</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6、现代文阅读一也须时常练习。</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7、文学类阅读也可从如何读懂文章和如何答题两方面备考。一方面要培养在较短时间读懂文章的能力，另一方面要熟悉各种题型，熟练解题技巧。</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8、作文在审题、立意、选材、文体、样式、技巧方面反复练习，多做准备。审题须准；立意须稳，在此基础上力求新和深；要有材料意识，即随时准备材料、熟悉材料，形成自己的特色材料。要多挖掘自身材料，多关注社会材料，多整理书本材料；记叙类文体和议论文两者文体“两手都要抓，两手都要硬”；要形成适合自己、适合题目、适合材料的作文结构样式和写作技巧。</w:t>
      </w:r>
    </w:p>
    <w:p>
      <w:pPr>
        <w:spacing w:line="480" w:lineRule="exact"/>
        <w:ind w:firstLine="480" w:firstLineChars="20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总之，高考语文第一轮复习一定不可眉毛胡子一把抓，东一榔头西一槌，而要依照考点，在老师的指导下有条不紊地展开。在首轮复习中要坚决做到定点打桩，桩桩得力，为202</w:t>
      </w:r>
      <w:r>
        <w:rPr>
          <w:rFonts w:asciiTheme="minorEastAsia" w:eastAsiaTheme="minorEastAsia" w:hAnsiTheme="minorEastAsia" w:cstheme="minorEastAsia" w:hint="eastAsia"/>
          <w:sz w:val="24"/>
          <w:szCs w:val="32"/>
          <w:lang w:val="en-US" w:eastAsia="zh-CN"/>
        </w:rPr>
        <w:t>3</w:t>
      </w:r>
      <w:r>
        <w:rPr>
          <w:rFonts w:asciiTheme="minorEastAsia" w:eastAsiaTheme="minorEastAsia" w:hAnsiTheme="minorEastAsia" w:cstheme="minorEastAsia" w:hint="eastAsia"/>
          <w:sz w:val="24"/>
          <w:szCs w:val="32"/>
        </w:rPr>
        <w:t>年六月高考的辉煌奠定一个坚实的基础。</w:t>
      </w:r>
    </w:p>
    <w:p>
      <w:pPr>
        <w:spacing w:line="480" w:lineRule="exact"/>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附一轮复习进度表：</w:t>
      </w:r>
    </w:p>
    <w:p>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高三语文第一轮复习计划执行表</w:t>
      </w:r>
    </w:p>
    <w:p>
      <w:pPr>
        <w:jc w:val="center"/>
        <w:rPr>
          <w:rFonts w:ascii="仿宋_GB2312" w:eastAsia="仿宋_GB2312" w:hAnsi="仿宋_GB2312" w:cs="仿宋_GB2312"/>
          <w:color w:val="000000"/>
          <w:sz w:val="32"/>
          <w:szCs w:val="32"/>
        </w:rPr>
      </w:pPr>
    </w:p>
    <w:tbl>
      <w:tblPr>
        <w:tblStyle w:val="TableGrid"/>
        <w:tblpPr w:leftFromText="180" w:rightFromText="180" w:vertAnchor="text" w:horzAnchor="page" w:tblpX="967" w:tblpY="618"/>
        <w:tblOverlap w:val="never"/>
        <w:tblW w:w="1045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545"/>
        <w:gridCol w:w="1995"/>
        <w:gridCol w:w="2916"/>
      </w:tblGrid>
      <w:tr>
        <w:tblPrEx>
          <w:tblW w:w="1045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trPr>
        <w:tc>
          <w:tcPr>
            <w:tcW w:w="5545" w:type="dxa"/>
            <w:vAlign w:val="center"/>
          </w:tcPr>
          <w:p>
            <w:pPr>
              <w:ind w:firstLine="960" w:firstLineChars="300"/>
              <w:rPr>
                <w:rFonts w:ascii="仿宋_GB2312" w:eastAsia="仿宋_GB2312" w:hAnsi="仿宋_GB2312" w:cs="仿宋_GB2312"/>
                <w:sz w:val="32"/>
                <w:szCs w:val="32"/>
              </w:rPr>
            </w:pPr>
            <w:r>
              <w:rPr>
                <w:rFonts w:ascii="仿宋_GB2312" w:eastAsia="仿宋_GB2312" w:hAnsi="仿宋_GB2312" w:cs="仿宋_GB2312" w:hint="eastAsia"/>
                <w:sz w:val="32"/>
                <w:szCs w:val="32"/>
              </w:rPr>
              <w:t>复    习    规    划</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课 时 安 排</w:t>
            </w:r>
          </w:p>
        </w:tc>
        <w:tc>
          <w:tcPr>
            <w:tcW w:w="2916"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备  注</w:t>
            </w: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b/>
                <w:sz w:val="32"/>
                <w:szCs w:val="32"/>
              </w:rPr>
            </w:pPr>
          </w:p>
        </w:tc>
        <w:tc>
          <w:tcPr>
            <w:tcW w:w="1995" w:type="dxa"/>
            <w:vAlign w:val="center"/>
          </w:tcPr>
          <w:p>
            <w:pPr>
              <w:jc w:val="center"/>
              <w:rPr>
                <w:rFonts w:ascii="仿宋_GB2312" w:eastAsia="仿宋_GB2312" w:hAnsi="仿宋_GB2312" w:cs="仿宋_GB2312"/>
                <w:sz w:val="32"/>
                <w:szCs w:val="32"/>
              </w:rPr>
            </w:pPr>
          </w:p>
        </w:tc>
        <w:tc>
          <w:tcPr>
            <w:tcW w:w="2916"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训练+互动+展示</w:t>
            </w: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第一部分  语言文字运用</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42</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正确使用词语</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辨析病句</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标点</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sz w:val="32"/>
                <w:szCs w:val="32"/>
              </w:rPr>
              <w:t>修辞手法及句子表达效果</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连贯(句子衔接)</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语句补写</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bCs/>
                <w:sz w:val="32"/>
                <w:szCs w:val="32"/>
              </w:rPr>
              <w:t>4</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压缩语段</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句式变换</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语言得体</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句子仿写</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图文转换</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2916" w:type="dxa"/>
            <w:vAlign w:val="center"/>
          </w:tcPr>
          <w:p>
            <w:pPr>
              <w:rPr>
                <w:rFonts w:ascii="仿宋_GB2312" w:eastAsia="仿宋_GB2312" w:hAnsi="仿宋_GB2312" w:cs="仿宋_GB2312"/>
                <w:b/>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第二部分  古代诗文阅读</w:t>
            </w:r>
          </w:p>
        </w:tc>
        <w:tc>
          <w:tcPr>
            <w:tcW w:w="1995" w:type="dxa"/>
            <w:vAlign w:val="center"/>
          </w:tcPr>
          <w:p>
            <w:pPr>
              <w:jc w:val="center"/>
              <w:rPr>
                <w:rFonts w:ascii="仿宋_GB2312" w:eastAsia="仿宋_GB2312" w:hAnsi="仿宋_GB2312" w:cs="仿宋_GB2312"/>
                <w:sz w:val="32"/>
                <w:szCs w:val="32"/>
              </w:rPr>
            </w:pP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文言文阅读</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16+早读穿插</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回归课本（必修课本文言文）</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bCs/>
                <w:sz w:val="32"/>
                <w:szCs w:val="32"/>
              </w:rPr>
              <w:t>早读穿插</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断句</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10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文化常识（课内课外）</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内容理解与概括分析</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理解并翻译文中的句子</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概括材料内容</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b/>
                <w:sz w:val="32"/>
                <w:szCs w:val="32"/>
              </w:rPr>
              <w:t>古诗鉴赏</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18</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鉴赏诗歌的形象</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鉴赏诗歌的语言</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鉴赏诗歌的表达技巧</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理解、领悟诗歌的思想感情</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2916" w:type="dxa"/>
            <w:vAlign w:val="center"/>
          </w:tcPr>
          <w:p>
            <w:pPr>
              <w:rPr>
                <w:rFonts w:ascii="仿宋_GB2312" w:eastAsia="仿宋_GB2312" w:hAnsi="仿宋_GB2312" w:cs="仿宋_GB2312"/>
                <w:b/>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第三部分  现代文阅读</w:t>
            </w:r>
          </w:p>
        </w:tc>
        <w:tc>
          <w:tcPr>
            <w:tcW w:w="1995" w:type="dxa"/>
            <w:vAlign w:val="center"/>
          </w:tcPr>
          <w:p>
            <w:pPr>
              <w:jc w:val="center"/>
              <w:rPr>
                <w:rFonts w:ascii="仿宋_GB2312" w:eastAsia="仿宋_GB2312" w:hAnsi="仿宋_GB2312" w:cs="仿宋_GB2312"/>
                <w:sz w:val="32"/>
                <w:szCs w:val="32"/>
              </w:rPr>
            </w:pP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非连续性信息类文本阅读</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10</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b/>
                <w:sz w:val="32"/>
                <w:szCs w:val="32"/>
              </w:rPr>
            </w:pPr>
            <w:r>
              <w:rPr>
                <w:rFonts w:ascii="仿宋_GB2312" w:eastAsia="仿宋_GB2312" w:hAnsi="仿宋_GB2312" w:cs="仿宋_GB2312" w:hint="eastAsia"/>
                <w:sz w:val="32"/>
                <w:szCs w:val="32"/>
              </w:rPr>
              <w:t>筛选并整合文中信息</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sz w:val="32"/>
                <w:szCs w:val="32"/>
              </w:rPr>
              <w:t>概括分析材料内容</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b/>
                <w:sz w:val="32"/>
                <w:szCs w:val="32"/>
              </w:rPr>
            </w:pPr>
            <w:r>
              <w:rPr>
                <w:rFonts w:ascii="仿宋_GB2312" w:eastAsia="仿宋_GB2312" w:hAnsi="仿宋_GB2312" w:cs="仿宋_GB2312" w:hint="eastAsia"/>
                <w:sz w:val="32"/>
                <w:szCs w:val="32"/>
              </w:rPr>
              <w:t>理解文中概念</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b/>
                <w:sz w:val="32"/>
                <w:szCs w:val="32"/>
              </w:rPr>
            </w:pPr>
            <w:r>
              <w:rPr>
                <w:rFonts w:ascii="仿宋_GB2312" w:eastAsia="仿宋_GB2312" w:hAnsi="仿宋_GB2312" w:cs="仿宋_GB2312" w:hint="eastAsia"/>
                <w:sz w:val="32"/>
                <w:szCs w:val="32"/>
              </w:rPr>
              <w:t>分析论点、论据、论证</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b/>
                <w:sz w:val="32"/>
                <w:szCs w:val="32"/>
              </w:rPr>
            </w:pPr>
            <w:r>
              <w:rPr>
                <w:rFonts w:ascii="仿宋_GB2312" w:eastAsia="仿宋_GB2312" w:hAnsi="仿宋_GB2312" w:cs="仿宋_GB2312" w:hint="eastAsia"/>
                <w:sz w:val="32"/>
                <w:szCs w:val="32"/>
              </w:rPr>
              <w:t>分析图表</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概括材料内容</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916" w:type="dxa"/>
            <w:vAlign w:val="center"/>
          </w:tcPr>
          <w:p>
            <w:pPr>
              <w:rPr>
                <w:rFonts w:ascii="仿宋_GB2312" w:eastAsia="仿宋_GB2312" w:hAnsi="仿宋_GB2312" w:cs="仿宋_GB2312"/>
                <w:sz w:val="32"/>
                <w:szCs w:val="32"/>
              </w:rPr>
            </w:pPr>
          </w:p>
          <w:p>
            <w:pPr>
              <w:rPr>
                <w:rFonts w:ascii="仿宋_GB2312" w:eastAsia="仿宋_GB2312" w:hAnsi="仿宋_GB2312" w:cs="仿宋_GB2312"/>
                <w:sz w:val="32"/>
                <w:szCs w:val="32"/>
              </w:rPr>
            </w:pPr>
          </w:p>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分析侧重点</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根据材料探究</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文学类文本阅读——小说、散文</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35</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sz w:val="32"/>
                <w:szCs w:val="32"/>
              </w:rPr>
              <w:t>揣摩语言</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sz w:val="32"/>
                <w:szCs w:val="32"/>
              </w:rPr>
              <w:t>形象</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sz w:val="32"/>
                <w:szCs w:val="32"/>
              </w:rPr>
              <w:t>环境</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sz w:val="32"/>
                <w:szCs w:val="32"/>
              </w:rPr>
              <w:t>情节</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sz w:val="32"/>
                <w:szCs w:val="32"/>
              </w:rPr>
              <w:t>标题</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开头</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结尾</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sz w:val="32"/>
                <w:szCs w:val="32"/>
              </w:rPr>
              <w:t>谋篇布局</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sz w:val="32"/>
                <w:szCs w:val="32"/>
              </w:rPr>
              <w:t>探究</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sz w:val="32"/>
                <w:szCs w:val="32"/>
              </w:rPr>
              <w:t>练习</w:t>
            </w:r>
          </w:p>
        </w:tc>
        <w:tc>
          <w:tcPr>
            <w:tcW w:w="1995" w:type="dxa"/>
            <w:vAlign w:val="center"/>
          </w:tcPr>
          <w:p>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10</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文学类文本阅读——现代诗歌</w:t>
            </w:r>
          </w:p>
          <w:p>
            <w:pPr>
              <w:rPr>
                <w:rFonts w:ascii="仿宋_GB2312" w:eastAsia="仿宋_GB2312" w:hAnsi="仿宋_GB2312" w:cs="仿宋_GB2312"/>
                <w:b/>
                <w:sz w:val="32"/>
                <w:szCs w:val="32"/>
              </w:rPr>
            </w:pPr>
          </w:p>
        </w:tc>
        <w:tc>
          <w:tcPr>
            <w:tcW w:w="1995" w:type="dxa"/>
            <w:vAlign w:val="center"/>
          </w:tcPr>
          <w:p>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4</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文学类文本阅读——戏剧</w:t>
            </w:r>
          </w:p>
        </w:tc>
        <w:tc>
          <w:tcPr>
            <w:tcW w:w="1995" w:type="dxa"/>
            <w:vAlign w:val="center"/>
          </w:tcPr>
          <w:p>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4</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b/>
                <w:sz w:val="32"/>
                <w:szCs w:val="32"/>
              </w:rPr>
              <w:t>第四部分  考场作文增分技法与训练</w:t>
            </w:r>
            <w:r>
              <w:rPr>
                <w:rFonts w:ascii="仿宋_GB2312" w:eastAsia="仿宋_GB2312" w:hAnsi="仿宋_GB2312" w:cs="仿宋_GB2312" w:hint="eastAsia"/>
                <w:sz w:val="32"/>
                <w:szCs w:val="32"/>
              </w:rPr>
              <w:t>（分散穿插于整个一轮复习）</w:t>
            </w:r>
          </w:p>
        </w:tc>
        <w:tc>
          <w:tcPr>
            <w:tcW w:w="1995" w:type="dxa"/>
            <w:vAlign w:val="center"/>
          </w:tcPr>
          <w:p>
            <w:pPr>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20</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b/>
                <w:sz w:val="32"/>
                <w:szCs w:val="32"/>
              </w:rPr>
              <w:t>第五部分   阅读</w:t>
            </w:r>
            <w:r>
              <w:rPr>
                <w:rFonts w:ascii="仿宋_GB2312" w:eastAsia="仿宋_GB2312" w:hAnsi="仿宋_GB2312" w:cs="仿宋_GB2312" w:hint="eastAsia"/>
                <w:sz w:val="32"/>
                <w:szCs w:val="32"/>
              </w:rPr>
              <w:t>（分散穿插于整个一轮复习）</w:t>
            </w:r>
          </w:p>
        </w:tc>
        <w:tc>
          <w:tcPr>
            <w:tcW w:w="1995" w:type="dxa"/>
            <w:vAlign w:val="center"/>
          </w:tcPr>
          <w:p>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25</w:t>
            </w:r>
          </w:p>
        </w:tc>
        <w:tc>
          <w:tcPr>
            <w:tcW w:w="2916" w:type="dxa"/>
            <w:vAlign w:val="center"/>
          </w:tcPr>
          <w:p>
            <w:pPr>
              <w:rPr>
                <w:rFonts w:ascii="仿宋_GB2312" w:eastAsia="仿宋_GB2312" w:hAnsi="仿宋_GB2312" w:cs="仿宋_GB2312"/>
                <w:sz w:val="32"/>
                <w:szCs w:val="32"/>
              </w:rPr>
            </w:pPr>
          </w:p>
        </w:tc>
      </w:tr>
      <w:tr>
        <w:tblPrEx>
          <w:tblW w:w="10456" w:type="dxa"/>
          <w:tblInd w:w="0" w:type="dxa"/>
          <w:tblLayout w:type="fixed"/>
          <w:tblCellMar>
            <w:top w:w="0" w:type="dxa"/>
            <w:left w:w="108" w:type="dxa"/>
            <w:bottom w:w="0" w:type="dxa"/>
            <w:right w:w="108" w:type="dxa"/>
          </w:tblCellMar>
        </w:tblPrEx>
        <w:trPr>
          <w:trHeight w:hRule="exact" w:val="454"/>
        </w:trPr>
        <w:tc>
          <w:tcPr>
            <w:tcW w:w="5545" w:type="dxa"/>
            <w:vAlign w:val="center"/>
          </w:tcPr>
          <w:p>
            <w:pPr>
              <w:rPr>
                <w:rFonts w:ascii="仿宋_GB2312" w:eastAsia="仿宋_GB2312" w:hAnsi="仿宋_GB2312" w:cs="仿宋_GB2312"/>
                <w:sz w:val="32"/>
                <w:szCs w:val="32"/>
              </w:rPr>
            </w:pPr>
          </w:p>
        </w:tc>
        <w:tc>
          <w:tcPr>
            <w:tcW w:w="1995" w:type="dxa"/>
            <w:vAlign w:val="center"/>
          </w:tcPr>
          <w:p>
            <w:pPr>
              <w:jc w:val="center"/>
              <w:rPr>
                <w:rFonts w:ascii="仿宋_GB2312" w:eastAsia="仿宋_GB2312" w:hAnsi="仿宋_GB2312" w:cs="仿宋_GB2312"/>
                <w:sz w:val="32"/>
                <w:szCs w:val="32"/>
              </w:rPr>
            </w:pPr>
          </w:p>
        </w:tc>
        <w:tc>
          <w:tcPr>
            <w:tcW w:w="2916" w:type="dxa"/>
            <w:vAlign w:val="center"/>
          </w:tcPr>
          <w:p>
            <w:pPr>
              <w:rPr>
                <w:rFonts w:ascii="仿宋_GB2312" w:eastAsia="仿宋_GB2312" w:hAnsi="仿宋_GB2312" w:cs="仿宋_GB2312"/>
                <w:sz w:val="32"/>
                <w:szCs w:val="32"/>
              </w:rPr>
            </w:pPr>
            <w:r>
              <w:rPr>
                <w:rFonts w:ascii="仿宋_GB2312" w:eastAsia="仿宋_GB2312" w:hAnsi="仿宋_GB2312" w:cs="仿宋_GB2312" w:hint="eastAsia"/>
                <w:b/>
                <w:sz w:val="32"/>
                <w:szCs w:val="32"/>
              </w:rPr>
              <w:t>合计174课时左右</w:t>
            </w:r>
          </w:p>
        </w:tc>
      </w:tr>
    </w:tbl>
    <w:p>
      <w:pPr>
        <w:spacing w:line="480" w:lineRule="exact"/>
        <w:jc w:val="right"/>
      </w:pPr>
    </w:p>
    <w:p>
      <w:pPr>
        <w:spacing w:line="480" w:lineRule="exact"/>
        <w:jc w:val="right"/>
      </w:pPr>
    </w:p>
    <w:p>
      <w:pPr>
        <w:spacing w:line="480" w:lineRule="exact"/>
        <w:jc w:val="right"/>
      </w:pPr>
    </w:p>
    <w:p>
      <w:pPr>
        <w:spacing w:line="480" w:lineRule="exact"/>
        <w:jc w:val="right"/>
      </w:pPr>
    </w:p>
    <w:p>
      <w:pPr>
        <w:spacing w:line="480" w:lineRule="exact"/>
        <w:jc w:val="right"/>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1D04AE"/>
    <w:rsid w:val="00222326"/>
    <w:rsid w:val="003B6B83"/>
    <w:rsid w:val="004151FC"/>
    <w:rsid w:val="004923C4"/>
    <w:rsid w:val="004D0692"/>
    <w:rsid w:val="00555714"/>
    <w:rsid w:val="00557FEA"/>
    <w:rsid w:val="00617857"/>
    <w:rsid w:val="00635097"/>
    <w:rsid w:val="008E61A8"/>
    <w:rsid w:val="00C02FC6"/>
    <w:rsid w:val="0821321C"/>
    <w:rsid w:val="17B85001"/>
    <w:rsid w:val="1E721670"/>
    <w:rsid w:val="221E74F4"/>
    <w:rsid w:val="25B14925"/>
    <w:rsid w:val="25D032A3"/>
    <w:rsid w:val="29826333"/>
    <w:rsid w:val="33500162"/>
    <w:rsid w:val="56B5124A"/>
    <w:rsid w:val="650D053E"/>
    <w:rsid w:val="661D04AE"/>
    <w:rsid w:val="690A41A1"/>
    <w:rsid w:val="7A7D56C6"/>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0"/>
    <w:uiPriority w:val="99"/>
    <w:unhideWhenUsed/>
    <w:qFormat/>
    <w:pPr>
      <w:tabs>
        <w:tab w:val="center" w:pos="4153"/>
        <w:tab w:val="right" w:pos="8306"/>
      </w:tabs>
      <w:snapToGrid w:val="0"/>
      <w:jc w:val="left"/>
    </w:pPr>
    <w:rPr>
      <w:kern w:val="0"/>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NormalWeb">
    <w:name w:val="Normal (Web)"/>
    <w:basedOn w:val="Normal"/>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Pr>
      <w:b/>
      <w:bCs/>
    </w:rPr>
  </w:style>
  <w:style w:type="character" w:customStyle="1" w:styleId="Char">
    <w:name w:val="页眉 Char"/>
    <w:link w:val="Header"/>
    <w:uiPriority w:val="99"/>
    <w:semiHidden/>
    <w:qFormat/>
    <w:rPr>
      <w:sz w:val="18"/>
      <w:szCs w:val="18"/>
      <w:lang w:eastAsia="zh-CN"/>
    </w:rPr>
  </w:style>
  <w:style w:type="character" w:customStyle="1" w:styleId="Char0">
    <w:name w:val="页脚 Char"/>
    <w:link w:val="Footer"/>
    <w:uiPriority w:val="99"/>
    <w:semiHidden/>
    <w:qFormat/>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42F4C-5DD0-486D-B485-311BC41F1A27}">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