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92A20DD" w14:textId="77777777" w:rsidR="006A50FF" w:rsidRDefault="00000000">
      <w:pPr>
        <w:spacing w:line="360" w:lineRule="auto"/>
        <w:jc w:val="center"/>
      </w:pPr>
      <w:r>
        <w:rPr>
          <w:rFonts w:eastAsia="Times New Roman" w:cs="Times New Roman"/>
          <w:b/>
          <w:sz w:val="32"/>
        </w:rPr>
        <w:t>2024</w:t>
      </w:r>
      <w:r>
        <w:rPr>
          <w:rFonts w:ascii="宋体" w:hAnsi="宋体"/>
          <w:b/>
          <w:sz w:val="32"/>
        </w:rPr>
        <w:t>年全省普通高中学业水平等级考试生物</w:t>
      </w:r>
    </w:p>
    <w:p w14:paraId="703BA0AA" w14:textId="77777777" w:rsidR="006A50FF" w:rsidRDefault="00000000">
      <w:pPr>
        <w:spacing w:line="360" w:lineRule="auto"/>
        <w:jc w:val="left"/>
      </w:pPr>
      <w:r>
        <w:rPr>
          <w:rFonts w:ascii="宋体" w:hAnsi="宋体"/>
          <w:b/>
          <w:sz w:val="24"/>
        </w:rPr>
        <w:t>注意事项：</w:t>
      </w:r>
    </w:p>
    <w:p w14:paraId="3A8F868E" w14:textId="77777777" w:rsidR="006A50FF" w:rsidRDefault="00000000">
      <w:pPr>
        <w:spacing w:line="360" w:lineRule="auto"/>
        <w:jc w:val="left"/>
      </w:pPr>
      <w:r>
        <w:rPr>
          <w:rFonts w:eastAsia="Times New Roman" w:cs="Times New Roman"/>
          <w:b/>
          <w:sz w:val="24"/>
        </w:rPr>
        <w:t>1.</w:t>
      </w:r>
      <w:r>
        <w:rPr>
          <w:rFonts w:ascii="宋体" w:hAnsi="宋体"/>
          <w:b/>
          <w:sz w:val="24"/>
        </w:rPr>
        <w:t>答卷前，考生务必将自己的姓名、考生号等填写在答题卡和试卷指定位置。</w:t>
      </w:r>
    </w:p>
    <w:p w14:paraId="2F29C589" w14:textId="77777777" w:rsidR="006A50FF" w:rsidRDefault="00000000">
      <w:pPr>
        <w:spacing w:line="360" w:lineRule="auto"/>
        <w:jc w:val="left"/>
      </w:pPr>
      <w:r>
        <w:rPr>
          <w:rFonts w:eastAsia="Times New Roman" w:cs="Times New Roman"/>
          <w:b/>
          <w:sz w:val="24"/>
        </w:rPr>
        <w:t>2.</w:t>
      </w:r>
      <w:r>
        <w:rPr>
          <w:rFonts w:ascii="宋体" w:hAnsi="宋体"/>
          <w:b/>
          <w:sz w:val="24"/>
        </w:rPr>
        <w:t>回答选择题时，选出每小题答案后，用铅笔把答题卡上对应题目的答案标号涂黑。</w:t>
      </w:r>
    </w:p>
    <w:p w14:paraId="708BEB56" w14:textId="77777777" w:rsidR="006A50FF" w:rsidRDefault="00000000">
      <w:pPr>
        <w:spacing w:line="360" w:lineRule="auto"/>
        <w:jc w:val="left"/>
      </w:pPr>
      <w:r>
        <w:rPr>
          <w:rFonts w:ascii="宋体" w:hAnsi="宋体"/>
          <w:b/>
          <w:sz w:val="24"/>
        </w:rPr>
        <w:t>如需改动，用橡皮擦干净后，再选涂其他答案标号。回答非选择题时，将答案写在答题卡上。写在本试卷上无效。</w:t>
      </w:r>
    </w:p>
    <w:p w14:paraId="42D048E3" w14:textId="77777777" w:rsidR="006A50FF" w:rsidRDefault="00000000">
      <w:pPr>
        <w:spacing w:line="360" w:lineRule="auto"/>
        <w:jc w:val="left"/>
      </w:pPr>
      <w:r>
        <w:rPr>
          <w:rFonts w:eastAsia="Times New Roman" w:cs="Times New Roman"/>
          <w:b/>
          <w:sz w:val="24"/>
        </w:rPr>
        <w:t>3.</w:t>
      </w:r>
      <w:r>
        <w:rPr>
          <w:rFonts w:ascii="宋体" w:hAnsi="宋体"/>
          <w:b/>
          <w:sz w:val="24"/>
        </w:rPr>
        <w:t>考试结束后，将本试卷和答题卡一并交回。</w:t>
      </w:r>
    </w:p>
    <w:p w14:paraId="4B89160A" w14:textId="77777777" w:rsidR="006A50FF" w:rsidRDefault="00000000">
      <w:pPr>
        <w:spacing w:line="360" w:lineRule="auto"/>
        <w:jc w:val="left"/>
      </w:pPr>
      <w:r>
        <w:rPr>
          <w:rFonts w:ascii="宋体" w:hAnsi="宋体"/>
          <w:b/>
          <w:sz w:val="24"/>
        </w:rPr>
        <w:t>一、选择题：本题共</w:t>
      </w:r>
      <w:r>
        <w:rPr>
          <w:rFonts w:eastAsia="Times New Roman" w:cs="Times New Roman"/>
          <w:b/>
          <w:sz w:val="24"/>
        </w:rPr>
        <w:t>15</w:t>
      </w:r>
      <w:r>
        <w:rPr>
          <w:rFonts w:ascii="宋体" w:hAnsi="宋体"/>
          <w:b/>
          <w:sz w:val="24"/>
        </w:rPr>
        <w:t>小题，每小题</w:t>
      </w:r>
      <w:r>
        <w:rPr>
          <w:rFonts w:eastAsia="Times New Roman" w:cs="Times New Roman"/>
          <w:b/>
          <w:sz w:val="24"/>
        </w:rPr>
        <w:t>2</w:t>
      </w:r>
      <w:r>
        <w:rPr>
          <w:rFonts w:ascii="宋体" w:hAnsi="宋体"/>
          <w:b/>
          <w:sz w:val="24"/>
        </w:rPr>
        <w:t>分，共</w:t>
      </w:r>
      <w:r>
        <w:rPr>
          <w:rFonts w:eastAsia="Times New Roman" w:cs="Times New Roman"/>
          <w:b/>
          <w:sz w:val="24"/>
        </w:rPr>
        <w:t>30</w:t>
      </w:r>
      <w:r>
        <w:rPr>
          <w:rFonts w:ascii="宋体" w:hAnsi="宋体"/>
          <w:b/>
          <w:sz w:val="24"/>
        </w:rPr>
        <w:t>分。每小题只有一个选项符合题目要求。</w:t>
      </w:r>
    </w:p>
    <w:p w14:paraId="651F54D9" w14:textId="77777777" w:rsidR="006A50FF" w:rsidRDefault="00000000">
      <w:pPr>
        <w:spacing w:line="360" w:lineRule="auto"/>
        <w:jc w:val="left"/>
      </w:pPr>
      <w:r>
        <w:t xml:space="preserve">1. </w:t>
      </w:r>
      <w:r>
        <w:rPr>
          <w:rFonts w:ascii="宋体" w:hAnsi="宋体"/>
        </w:rPr>
        <w:t>植物细胞被感染后产生</w:t>
      </w:r>
      <w:r>
        <w:rPr>
          <w:rFonts w:ascii="宋体" w:hAnsi="宋体" w:hint="eastAsia"/>
        </w:rPr>
        <w:t>的</w:t>
      </w:r>
      <w:r>
        <w:rPr>
          <w:rFonts w:ascii="宋体" w:hAnsi="宋体"/>
        </w:rPr>
        <w:t>环核苷酸结合并打开细胞膜上的</w:t>
      </w:r>
      <w:r>
        <w:rPr>
          <w:rFonts w:eastAsia="Times New Roman" w:cs="Times New Roman"/>
        </w:rPr>
        <w:t>Ca</w:t>
      </w:r>
      <w:r>
        <w:rPr>
          <w:rFonts w:eastAsia="Times New Roman" w:cs="Times New Roman"/>
          <w:vertAlign w:val="superscript"/>
        </w:rPr>
        <w:t>2+</w:t>
      </w:r>
      <w:r>
        <w:rPr>
          <w:rFonts w:ascii="宋体" w:hAnsi="宋体"/>
        </w:rPr>
        <w:t>通道蛋白，使细胞内</w:t>
      </w:r>
      <w:r>
        <w:rPr>
          <w:rFonts w:eastAsia="Times New Roman" w:cs="Times New Roman"/>
        </w:rPr>
        <w:t>Ca</w:t>
      </w:r>
      <w:r>
        <w:rPr>
          <w:rFonts w:eastAsia="Times New Roman" w:cs="Times New Roman"/>
          <w:vertAlign w:val="superscript"/>
        </w:rPr>
        <w:t>2+</w:t>
      </w:r>
      <w:r>
        <w:rPr>
          <w:rFonts w:ascii="宋体" w:hAnsi="宋体"/>
        </w:rPr>
        <w:t>浓度升高，调控相关基因表达，导致</w:t>
      </w:r>
      <w:r>
        <w:rPr>
          <w:rFonts w:eastAsia="Times New Roman" w:cs="Times New Roman"/>
        </w:rPr>
        <w:t>H</w:t>
      </w:r>
      <w:r>
        <w:rPr>
          <w:rFonts w:eastAsia="Times New Roman" w:cs="Times New Roman"/>
          <w:vertAlign w:val="subscript"/>
        </w:rPr>
        <w:t>2</w:t>
      </w:r>
      <w:r>
        <w:rPr>
          <w:rFonts w:eastAsia="Times New Roman" w:cs="Times New Roman"/>
        </w:rPr>
        <w:t>O</w:t>
      </w:r>
      <w:r>
        <w:rPr>
          <w:rFonts w:eastAsia="Times New Roman" w:cs="Times New Roman"/>
          <w:vertAlign w:val="subscript"/>
        </w:rPr>
        <w:t>2</w:t>
      </w:r>
      <w:r>
        <w:rPr>
          <w:rFonts w:ascii="宋体" w:hAnsi="宋体"/>
        </w:rPr>
        <w:t>含量升高进而对细胞造成伤害；细胞膜上的受体激酶</w:t>
      </w:r>
      <w:r>
        <w:rPr>
          <w:rFonts w:eastAsia="Times New Roman" w:cs="Times New Roman"/>
        </w:rPr>
        <w:t>BAK1</w:t>
      </w:r>
      <w:r>
        <w:rPr>
          <w:rFonts w:ascii="宋体" w:hAnsi="宋体"/>
        </w:rPr>
        <w:t>被油菜素内酯活化后关闭上述</w:t>
      </w:r>
      <w:r>
        <w:rPr>
          <w:rFonts w:eastAsia="Times New Roman" w:cs="Times New Roman"/>
        </w:rPr>
        <w:t>Ca</w:t>
      </w:r>
      <w:r>
        <w:rPr>
          <w:rFonts w:eastAsia="Times New Roman" w:cs="Times New Roman"/>
          <w:vertAlign w:val="superscript"/>
        </w:rPr>
        <w:t>2+</w:t>
      </w:r>
      <w:r>
        <w:rPr>
          <w:rFonts w:ascii="宋体" w:hAnsi="宋体"/>
        </w:rPr>
        <w:t>通道蛋白。下列说法正确的是（　　）</w:t>
      </w:r>
    </w:p>
    <w:p w14:paraId="7E06F327" w14:textId="77777777" w:rsidR="006A50FF" w:rsidRDefault="00000000">
      <w:pPr>
        <w:spacing w:line="360" w:lineRule="auto"/>
        <w:jc w:val="left"/>
        <w:textAlignment w:val="center"/>
      </w:pPr>
      <w:r>
        <w:t xml:space="preserve">A. </w:t>
      </w:r>
      <w:r>
        <w:rPr>
          <w:rFonts w:ascii="宋体" w:hAnsi="宋体"/>
        </w:rPr>
        <w:t>环核苷酸与</w:t>
      </w:r>
      <w:r>
        <w:rPr>
          <w:rFonts w:eastAsia="Times New Roman" w:cs="Times New Roman"/>
        </w:rPr>
        <w:t>Ca</w:t>
      </w:r>
      <w:r>
        <w:rPr>
          <w:rFonts w:eastAsia="Times New Roman" w:cs="Times New Roman"/>
          <w:vertAlign w:val="superscript"/>
        </w:rPr>
        <w:t>2+</w:t>
      </w:r>
      <w:r>
        <w:rPr>
          <w:rFonts w:ascii="宋体" w:hAnsi="宋体"/>
        </w:rPr>
        <w:t>均可结合</w:t>
      </w:r>
      <w:r>
        <w:rPr>
          <w:rFonts w:eastAsia="Times New Roman" w:cs="Times New Roman"/>
        </w:rPr>
        <w:t>Ca</w:t>
      </w:r>
      <w:r>
        <w:rPr>
          <w:rFonts w:eastAsia="Times New Roman" w:cs="Times New Roman"/>
          <w:vertAlign w:val="superscript"/>
        </w:rPr>
        <w:t>2+</w:t>
      </w:r>
      <w:r>
        <w:rPr>
          <w:rFonts w:ascii="宋体" w:hAnsi="宋体"/>
        </w:rPr>
        <w:t>通道蛋白</w:t>
      </w:r>
    </w:p>
    <w:p w14:paraId="6BAB15B4" w14:textId="77777777" w:rsidR="006A50FF" w:rsidRDefault="00000000">
      <w:pPr>
        <w:spacing w:line="360" w:lineRule="auto"/>
        <w:jc w:val="left"/>
        <w:textAlignment w:val="center"/>
      </w:pPr>
      <w:r>
        <w:t xml:space="preserve">B. </w:t>
      </w:r>
      <w:r>
        <w:rPr>
          <w:rFonts w:ascii="宋体" w:hAnsi="宋体"/>
        </w:rPr>
        <w:t>维持细胞</w:t>
      </w:r>
      <w:r>
        <w:rPr>
          <w:rFonts w:eastAsia="Times New Roman" w:cs="Times New Roman"/>
        </w:rPr>
        <w:t>Ca</w:t>
      </w:r>
      <w:r>
        <w:rPr>
          <w:rFonts w:eastAsia="Times New Roman" w:cs="Times New Roman"/>
          <w:vertAlign w:val="superscript"/>
        </w:rPr>
        <w:t>2+</w:t>
      </w:r>
      <w:r>
        <w:rPr>
          <w:rFonts w:ascii="宋体" w:hAnsi="宋体"/>
        </w:rPr>
        <w:t>浓度的内低外高需消耗能量</w:t>
      </w:r>
    </w:p>
    <w:p w14:paraId="1D6C8205" w14:textId="77777777" w:rsidR="006A50FF" w:rsidRDefault="00000000">
      <w:pPr>
        <w:spacing w:line="360" w:lineRule="auto"/>
        <w:jc w:val="left"/>
        <w:textAlignment w:val="center"/>
      </w:pPr>
      <w:r>
        <w:t xml:space="preserve">C. </w:t>
      </w:r>
      <w:r>
        <w:rPr>
          <w:rFonts w:eastAsia="Times New Roman" w:cs="Times New Roman"/>
        </w:rPr>
        <w:t>Ca</w:t>
      </w:r>
      <w:r>
        <w:rPr>
          <w:rFonts w:eastAsia="Times New Roman" w:cs="Times New Roman"/>
          <w:vertAlign w:val="superscript"/>
        </w:rPr>
        <w:t>2+</w:t>
      </w:r>
      <w:r>
        <w:rPr>
          <w:rFonts w:ascii="宋体" w:hAnsi="宋体"/>
        </w:rPr>
        <w:t>作为信号分子直接抑制</w:t>
      </w:r>
      <w:r>
        <w:rPr>
          <w:rFonts w:eastAsia="Times New Roman" w:cs="Times New Roman"/>
        </w:rPr>
        <w:t>H</w:t>
      </w:r>
      <w:r>
        <w:rPr>
          <w:rFonts w:eastAsia="Times New Roman" w:cs="Times New Roman"/>
          <w:vertAlign w:val="subscript"/>
        </w:rPr>
        <w:t>2</w:t>
      </w:r>
      <w:r>
        <w:rPr>
          <w:rFonts w:eastAsia="Times New Roman" w:cs="Times New Roman"/>
        </w:rPr>
        <w:t>O</w:t>
      </w:r>
      <w:r>
        <w:rPr>
          <w:rFonts w:eastAsia="Times New Roman" w:cs="Times New Roman"/>
          <w:vertAlign w:val="subscript"/>
        </w:rPr>
        <w:t>2</w:t>
      </w:r>
      <w:r>
        <w:rPr>
          <w:rFonts w:ascii="宋体" w:hAnsi="宋体"/>
        </w:rPr>
        <w:t>的分解</w:t>
      </w:r>
    </w:p>
    <w:p w14:paraId="66C4B562" w14:textId="77777777" w:rsidR="006A50FF" w:rsidRDefault="00000000">
      <w:pPr>
        <w:spacing w:line="360" w:lineRule="auto"/>
        <w:jc w:val="left"/>
        <w:textAlignment w:val="center"/>
        <w:rPr>
          <w:color w:val="000000"/>
        </w:rPr>
      </w:pPr>
      <w:r>
        <w:t xml:space="preserve">D. </w:t>
      </w:r>
      <w:r>
        <w:rPr>
          <w:rFonts w:ascii="宋体" w:hAnsi="宋体"/>
        </w:rPr>
        <w:t>油菜素内酯可使</w:t>
      </w:r>
      <w:r>
        <w:rPr>
          <w:rFonts w:eastAsia="Times New Roman" w:cs="Times New Roman"/>
        </w:rPr>
        <w:t>BAK1</w:t>
      </w:r>
      <w:r>
        <w:rPr>
          <w:rFonts w:ascii="宋体" w:hAnsi="宋体"/>
        </w:rPr>
        <w:t>缺失的被感染细胞内</w:t>
      </w:r>
      <w:r>
        <w:rPr>
          <w:rFonts w:eastAsia="Times New Roman" w:cs="Times New Roman"/>
        </w:rPr>
        <w:t>H</w:t>
      </w:r>
      <w:r>
        <w:rPr>
          <w:rFonts w:eastAsia="Times New Roman" w:cs="Times New Roman"/>
          <w:vertAlign w:val="subscript"/>
        </w:rPr>
        <w:t>2</w:t>
      </w:r>
      <w:r>
        <w:rPr>
          <w:rFonts w:eastAsia="Times New Roman" w:cs="Times New Roman"/>
        </w:rPr>
        <w:t>O</w:t>
      </w:r>
      <w:r>
        <w:rPr>
          <w:rFonts w:eastAsia="Times New Roman" w:cs="Times New Roman"/>
          <w:vertAlign w:val="subscript"/>
        </w:rPr>
        <w:t>2</w:t>
      </w:r>
      <w:r>
        <w:rPr>
          <w:rFonts w:ascii="宋体" w:hAnsi="宋体"/>
        </w:rPr>
        <w:t>含量降低</w:t>
      </w:r>
    </w:p>
    <w:p w14:paraId="236F59F4" w14:textId="77777777" w:rsidR="006A50FF" w:rsidRDefault="00000000">
      <w:pPr>
        <w:spacing w:line="360" w:lineRule="auto"/>
        <w:jc w:val="left"/>
        <w:textAlignment w:val="center"/>
        <w:rPr>
          <w:color w:val="000000"/>
        </w:rPr>
      </w:pPr>
      <w:r>
        <w:rPr>
          <w:color w:val="000000"/>
        </w:rPr>
        <w:t xml:space="preserve">2. </w:t>
      </w:r>
      <w:r>
        <w:rPr>
          <w:rFonts w:ascii="宋体" w:hAnsi="宋体"/>
          <w:color w:val="000000"/>
        </w:rPr>
        <w:t>心肌损伤诱导某种巨噬细胞吞噬、清除死亡的细胞，随后该巨噬细胞线粒体中</w:t>
      </w:r>
      <w:r>
        <w:rPr>
          <w:rFonts w:eastAsia="Times New Roman" w:cs="Times New Roman"/>
          <w:color w:val="000000"/>
        </w:rPr>
        <w:t>NAD</w:t>
      </w:r>
      <w:r>
        <w:rPr>
          <w:rFonts w:eastAsia="Times New Roman" w:cs="Times New Roman"/>
          <w:color w:val="000000"/>
          <w:vertAlign w:val="superscript"/>
        </w:rPr>
        <w:t>+</w:t>
      </w:r>
      <w:r>
        <w:rPr>
          <w:rFonts w:ascii="宋体" w:hAnsi="宋体"/>
          <w:color w:val="000000"/>
        </w:rPr>
        <w:t>浓度降低，生成</w:t>
      </w:r>
      <w:r>
        <w:rPr>
          <w:rFonts w:eastAsia="Times New Roman" w:cs="Times New Roman"/>
          <w:color w:val="000000"/>
        </w:rPr>
        <w:t>NADH</w:t>
      </w:r>
      <w:r>
        <w:rPr>
          <w:rFonts w:ascii="宋体" w:hAnsi="宋体"/>
          <w:color w:val="000000"/>
        </w:rPr>
        <w:t>的速率减小，引起有机酸</w:t>
      </w:r>
      <w:r>
        <w:rPr>
          <w:rFonts w:eastAsia="Times New Roman" w:cs="Times New Roman"/>
          <w:color w:val="000000"/>
        </w:rPr>
        <w:t>ITA</w:t>
      </w:r>
      <w:r>
        <w:rPr>
          <w:rFonts w:ascii="宋体" w:hAnsi="宋体"/>
          <w:color w:val="000000"/>
        </w:rPr>
        <w:t>的生成增加。</w:t>
      </w:r>
      <w:r>
        <w:rPr>
          <w:rFonts w:eastAsia="Times New Roman" w:cs="Times New Roman"/>
          <w:color w:val="000000"/>
        </w:rPr>
        <w:t>ITA</w:t>
      </w:r>
      <w:r>
        <w:rPr>
          <w:rFonts w:ascii="宋体" w:hAnsi="宋体"/>
          <w:color w:val="000000"/>
        </w:rPr>
        <w:t>可被细胞膜上的载体蛋白</w:t>
      </w:r>
      <w:r>
        <w:rPr>
          <w:rFonts w:eastAsia="Times New Roman" w:cs="Times New Roman"/>
          <w:color w:val="000000"/>
        </w:rPr>
        <w:t>L</w:t>
      </w:r>
      <w:r>
        <w:rPr>
          <w:rFonts w:ascii="宋体" w:hAnsi="宋体"/>
          <w:color w:val="000000"/>
        </w:rPr>
        <w:t>转运到细胞外。下列说法错误的是（　　）</w:t>
      </w:r>
    </w:p>
    <w:p w14:paraId="01DAA7F5" w14:textId="77777777" w:rsidR="006A50FF" w:rsidRDefault="00000000">
      <w:pPr>
        <w:spacing w:line="360" w:lineRule="auto"/>
        <w:jc w:val="left"/>
        <w:textAlignment w:val="center"/>
        <w:rPr>
          <w:color w:val="000000"/>
        </w:rPr>
      </w:pPr>
      <w:r>
        <w:rPr>
          <w:color w:val="000000"/>
        </w:rPr>
        <w:t xml:space="preserve">A. </w:t>
      </w:r>
      <w:r>
        <w:rPr>
          <w:rFonts w:ascii="宋体" w:hAnsi="宋体"/>
          <w:color w:val="000000"/>
        </w:rPr>
        <w:t>细胞呼吸为巨噬细胞吞噬死亡细胞的过程提供能量</w:t>
      </w:r>
    </w:p>
    <w:p w14:paraId="3C6A0BF7" w14:textId="77777777" w:rsidR="006A50FF" w:rsidRDefault="00000000">
      <w:pPr>
        <w:spacing w:line="360" w:lineRule="auto"/>
        <w:jc w:val="left"/>
        <w:textAlignment w:val="center"/>
        <w:rPr>
          <w:color w:val="000000"/>
        </w:rPr>
      </w:pPr>
      <w:r>
        <w:rPr>
          <w:color w:val="000000"/>
        </w:rPr>
        <w:t xml:space="preserve">B. </w:t>
      </w:r>
      <w:r>
        <w:rPr>
          <w:rFonts w:ascii="宋体" w:hAnsi="宋体"/>
          <w:color w:val="000000"/>
        </w:rPr>
        <w:t>转运</w:t>
      </w:r>
      <w:r>
        <w:rPr>
          <w:rFonts w:eastAsia="Times New Roman" w:cs="Times New Roman"/>
          <w:color w:val="000000"/>
        </w:rPr>
        <w:t>ITA</w:t>
      </w:r>
      <w:r>
        <w:rPr>
          <w:rFonts w:ascii="宋体" w:hAnsi="宋体"/>
          <w:color w:val="000000"/>
        </w:rPr>
        <w:t>时，载体蛋白</w:t>
      </w:r>
      <w:r>
        <w:rPr>
          <w:rFonts w:eastAsia="Times New Roman" w:cs="Times New Roman"/>
          <w:color w:val="000000"/>
        </w:rPr>
        <w:t>L</w:t>
      </w:r>
      <w:r>
        <w:rPr>
          <w:rFonts w:ascii="宋体" w:hAnsi="宋体"/>
          <w:color w:val="000000"/>
        </w:rPr>
        <w:t>的构象会发生改变</w:t>
      </w:r>
    </w:p>
    <w:p w14:paraId="4B59D1C8" w14:textId="77777777" w:rsidR="006A50FF" w:rsidRDefault="00000000">
      <w:pPr>
        <w:spacing w:line="360" w:lineRule="auto"/>
        <w:jc w:val="left"/>
        <w:textAlignment w:val="center"/>
        <w:rPr>
          <w:color w:val="000000"/>
        </w:rPr>
      </w:pPr>
      <w:r>
        <w:rPr>
          <w:color w:val="000000"/>
        </w:rPr>
        <w:lastRenderedPageBreak/>
        <w:t xml:space="preserve">C. </w:t>
      </w:r>
      <w:r>
        <w:rPr>
          <w:rFonts w:ascii="宋体" w:hAnsi="宋体"/>
          <w:color w:val="000000"/>
        </w:rPr>
        <w:t>该巨噬细胞清除死亡细胞后，有氧呼吸产生</w:t>
      </w:r>
      <w:r>
        <w:rPr>
          <w:rFonts w:eastAsia="Times New Roman" w:cs="Times New Roman"/>
          <w:color w:val="000000"/>
        </w:rPr>
        <w:t>CO</w:t>
      </w:r>
      <w:r>
        <w:rPr>
          <w:rFonts w:eastAsia="Times New Roman" w:cs="Times New Roman"/>
          <w:color w:val="000000"/>
          <w:vertAlign w:val="subscript"/>
        </w:rPr>
        <w:t>2</w:t>
      </w:r>
      <w:r>
        <w:rPr>
          <w:rFonts w:ascii="宋体" w:hAnsi="宋体"/>
          <w:color w:val="000000"/>
        </w:rPr>
        <w:t>的速率增大</w:t>
      </w:r>
    </w:p>
    <w:p w14:paraId="4FD1C856" w14:textId="77777777" w:rsidR="006A50FF" w:rsidRDefault="00000000">
      <w:pPr>
        <w:spacing w:line="360" w:lineRule="auto"/>
        <w:jc w:val="left"/>
        <w:textAlignment w:val="center"/>
        <w:rPr>
          <w:color w:val="000000"/>
        </w:rPr>
      </w:pPr>
      <w:r>
        <w:rPr>
          <w:color w:val="000000"/>
        </w:rPr>
        <w:t xml:space="preserve">D. </w:t>
      </w:r>
      <w:r>
        <w:rPr>
          <w:rFonts w:ascii="宋体" w:hAnsi="宋体"/>
          <w:color w:val="000000"/>
        </w:rPr>
        <w:t>被吞噬的死亡细胞可由巨噬细胞的溶酶体分解</w:t>
      </w:r>
    </w:p>
    <w:p w14:paraId="3DFF6D8C" w14:textId="77777777" w:rsidR="006A50FF" w:rsidRDefault="00000000">
      <w:pPr>
        <w:spacing w:line="360" w:lineRule="auto"/>
        <w:jc w:val="left"/>
        <w:textAlignment w:val="center"/>
        <w:rPr>
          <w:color w:val="000000"/>
        </w:rPr>
      </w:pPr>
      <w:r>
        <w:rPr>
          <w:color w:val="000000"/>
        </w:rPr>
        <w:t xml:space="preserve">3. </w:t>
      </w:r>
      <w:r>
        <w:rPr>
          <w:rFonts w:ascii="宋体" w:hAnsi="宋体"/>
          <w:color w:val="000000"/>
        </w:rPr>
        <w:t>某植物的蛋白</w:t>
      </w:r>
      <w:r>
        <w:rPr>
          <w:rFonts w:eastAsia="Times New Roman" w:cs="Times New Roman"/>
          <w:color w:val="000000"/>
        </w:rPr>
        <w:t>P</w:t>
      </w:r>
      <w:r>
        <w:rPr>
          <w:rFonts w:ascii="宋体" w:hAnsi="宋体"/>
          <w:color w:val="000000"/>
        </w:rPr>
        <w:t>由其前体加工修饰后形成，并通过胞吐被排出细胞。在胞外酸性环境下，蛋白</w:t>
      </w:r>
      <w:r>
        <w:rPr>
          <w:rFonts w:eastAsia="Times New Roman" w:cs="Times New Roman"/>
          <w:color w:val="000000"/>
        </w:rPr>
        <w:t>P</w:t>
      </w:r>
      <w:r>
        <w:rPr>
          <w:rFonts w:ascii="宋体" w:hAnsi="宋体"/>
          <w:color w:val="000000"/>
        </w:rPr>
        <w:t>被分生区细胞膜上的受体识别并结合，引起分生区细胞分裂。病原菌侵染使胞外环境成为碱性，导致蛋白</w:t>
      </w:r>
      <w:r>
        <w:rPr>
          <w:rFonts w:eastAsia="Times New Roman" w:cs="Times New Roman"/>
          <w:color w:val="000000"/>
        </w:rPr>
        <w:t>P</w:t>
      </w:r>
      <w:r>
        <w:rPr>
          <w:rFonts w:ascii="宋体" w:hAnsi="宋体"/>
          <w:color w:val="000000"/>
        </w:rPr>
        <w:t>空间结构改变，使其不被受体识别。下列说法正确的是（　　）</w:t>
      </w:r>
    </w:p>
    <w:p w14:paraId="0B1A79B1" w14:textId="77777777" w:rsidR="006A50FF" w:rsidRDefault="00000000">
      <w:pPr>
        <w:spacing w:line="360" w:lineRule="auto"/>
        <w:jc w:val="left"/>
        <w:textAlignment w:val="center"/>
        <w:rPr>
          <w:color w:val="000000"/>
        </w:rPr>
      </w:pPr>
      <w:r>
        <w:rPr>
          <w:color w:val="000000"/>
        </w:rPr>
        <w:t xml:space="preserve">A. </w:t>
      </w:r>
      <w:r>
        <w:rPr>
          <w:rFonts w:ascii="宋体" w:hAnsi="宋体"/>
          <w:color w:val="000000"/>
        </w:rPr>
        <w:t>蛋白</w:t>
      </w:r>
      <w:r>
        <w:rPr>
          <w:rFonts w:eastAsia="Times New Roman" w:cs="Times New Roman"/>
          <w:color w:val="000000"/>
        </w:rPr>
        <w:t>P</w:t>
      </w:r>
      <w:r>
        <w:rPr>
          <w:rFonts w:ascii="宋体" w:hAnsi="宋体"/>
          <w:color w:val="000000"/>
        </w:rPr>
        <w:t>前体通过囊泡从核糖体转移至内质网</w:t>
      </w:r>
    </w:p>
    <w:p w14:paraId="11BB2903" w14:textId="77777777" w:rsidR="006A50FF" w:rsidRDefault="00000000">
      <w:pPr>
        <w:spacing w:line="360" w:lineRule="auto"/>
        <w:jc w:val="left"/>
        <w:textAlignment w:val="center"/>
        <w:rPr>
          <w:color w:val="000000"/>
        </w:rPr>
      </w:pPr>
      <w:r>
        <w:rPr>
          <w:color w:val="000000"/>
        </w:rPr>
        <w:t xml:space="preserve">B. </w:t>
      </w:r>
      <w:r>
        <w:rPr>
          <w:rFonts w:ascii="宋体" w:hAnsi="宋体"/>
          <w:color w:val="000000"/>
        </w:rPr>
        <w:t>蛋白</w:t>
      </w:r>
      <w:r>
        <w:rPr>
          <w:rFonts w:eastAsia="Times New Roman" w:cs="Times New Roman"/>
          <w:color w:val="000000"/>
        </w:rPr>
        <w:t>P</w:t>
      </w:r>
      <w:r>
        <w:rPr>
          <w:rFonts w:ascii="宋体" w:hAnsi="宋体"/>
          <w:color w:val="000000"/>
        </w:rPr>
        <w:t>被排出细胞的过程依赖细胞膜的流动性</w:t>
      </w:r>
    </w:p>
    <w:p w14:paraId="542103EC" w14:textId="77777777" w:rsidR="006A50FF" w:rsidRDefault="00000000">
      <w:pPr>
        <w:spacing w:line="360" w:lineRule="auto"/>
        <w:jc w:val="left"/>
        <w:textAlignment w:val="center"/>
        <w:rPr>
          <w:color w:val="000000"/>
        </w:rPr>
      </w:pPr>
      <w:r>
        <w:rPr>
          <w:color w:val="000000"/>
        </w:rPr>
        <w:t xml:space="preserve">C. </w:t>
      </w:r>
      <w:r>
        <w:rPr>
          <w:rFonts w:ascii="宋体" w:hAnsi="宋体"/>
          <w:color w:val="000000"/>
        </w:rPr>
        <w:t>提取蛋白</w:t>
      </w:r>
      <w:r>
        <w:rPr>
          <w:rFonts w:eastAsia="Times New Roman" w:cs="Times New Roman"/>
          <w:color w:val="000000"/>
        </w:rPr>
        <w:t>P</w:t>
      </w:r>
      <w:r>
        <w:rPr>
          <w:rFonts w:ascii="宋体" w:hAnsi="宋体"/>
          <w:color w:val="000000"/>
        </w:rPr>
        <w:t>过程中为保持其生物活性，所用缓冲体系应为碱性</w:t>
      </w:r>
    </w:p>
    <w:p w14:paraId="11A0588B" w14:textId="77777777" w:rsidR="006A50FF" w:rsidRDefault="00000000">
      <w:pPr>
        <w:spacing w:line="360" w:lineRule="auto"/>
        <w:jc w:val="left"/>
        <w:textAlignment w:val="center"/>
        <w:rPr>
          <w:color w:val="000000"/>
        </w:rPr>
      </w:pPr>
      <w:r>
        <w:rPr>
          <w:color w:val="000000"/>
        </w:rPr>
        <w:t xml:space="preserve">D. </w:t>
      </w:r>
      <w:r>
        <w:rPr>
          <w:rFonts w:ascii="宋体" w:hAnsi="宋体"/>
          <w:color w:val="000000"/>
        </w:rPr>
        <w:t>病原菌侵染使蛋白</w:t>
      </w:r>
      <w:r>
        <w:rPr>
          <w:rFonts w:eastAsia="Times New Roman" w:cs="Times New Roman"/>
          <w:color w:val="000000"/>
        </w:rPr>
        <w:t>P</w:t>
      </w:r>
      <w:r>
        <w:rPr>
          <w:rFonts w:ascii="宋体" w:hAnsi="宋体"/>
          <w:color w:val="000000"/>
        </w:rPr>
        <w:t>不被受体识别，不能体现受体识别的专一性</w:t>
      </w:r>
    </w:p>
    <w:p w14:paraId="4F717DE0" w14:textId="77777777" w:rsidR="006A50FF" w:rsidRDefault="00000000">
      <w:pPr>
        <w:spacing w:line="360" w:lineRule="auto"/>
        <w:jc w:val="left"/>
        <w:textAlignment w:val="center"/>
        <w:rPr>
          <w:color w:val="000000"/>
        </w:rPr>
      </w:pPr>
      <w:r>
        <w:rPr>
          <w:color w:val="000000"/>
        </w:rPr>
        <w:t xml:space="preserve">4. </w:t>
      </w:r>
      <w:r>
        <w:rPr>
          <w:rFonts w:ascii="宋体" w:hAnsi="宋体"/>
          <w:color w:val="000000"/>
        </w:rPr>
        <w:t>仙人掌的茎由内部薄壁细胞和进行光合作用的外层细胞等组成，内部薄壁细胞的细胞壁伸缩性更大。水分充足时，内部薄壁细胞和外层细胞的渗透压保持相等；干旱环境下，内部薄壁细胞中单糖合成多糖的速率比外层细胞快。下列说法错误的是（　　）</w:t>
      </w:r>
    </w:p>
    <w:p w14:paraId="4FF6C8C0" w14:textId="77777777" w:rsidR="006A50FF" w:rsidRDefault="00000000">
      <w:pPr>
        <w:spacing w:line="360" w:lineRule="auto"/>
        <w:jc w:val="left"/>
        <w:textAlignment w:val="center"/>
        <w:rPr>
          <w:color w:val="000000"/>
        </w:rPr>
      </w:pPr>
      <w:r>
        <w:rPr>
          <w:color w:val="000000"/>
        </w:rPr>
        <w:t xml:space="preserve">A. </w:t>
      </w:r>
      <w:r>
        <w:rPr>
          <w:rFonts w:ascii="宋体" w:hAnsi="宋体"/>
          <w:color w:val="000000"/>
        </w:rPr>
        <w:t>细胞失水过程中，细胞液浓度增大</w:t>
      </w:r>
    </w:p>
    <w:p w14:paraId="49804770" w14:textId="77777777" w:rsidR="006A50FF" w:rsidRDefault="00000000">
      <w:pPr>
        <w:spacing w:line="360" w:lineRule="auto"/>
        <w:jc w:val="left"/>
        <w:textAlignment w:val="center"/>
        <w:rPr>
          <w:color w:val="000000"/>
        </w:rPr>
      </w:pPr>
      <w:r>
        <w:rPr>
          <w:color w:val="000000"/>
        </w:rPr>
        <w:t xml:space="preserve">B. </w:t>
      </w:r>
      <w:r>
        <w:rPr>
          <w:rFonts w:ascii="宋体" w:hAnsi="宋体"/>
          <w:color w:val="000000"/>
        </w:rPr>
        <w:t>干旱环境下，外层细胞的细胞液浓度比内部薄壁细胞的低</w:t>
      </w:r>
    </w:p>
    <w:p w14:paraId="59417DC9" w14:textId="77777777" w:rsidR="006A50FF" w:rsidRDefault="00000000">
      <w:pPr>
        <w:spacing w:line="360" w:lineRule="auto"/>
        <w:jc w:val="left"/>
        <w:textAlignment w:val="center"/>
        <w:rPr>
          <w:color w:val="000000"/>
        </w:rPr>
      </w:pPr>
      <w:r>
        <w:rPr>
          <w:color w:val="000000"/>
        </w:rPr>
        <w:t xml:space="preserve">C. </w:t>
      </w:r>
      <w:r>
        <w:rPr>
          <w:rFonts w:ascii="宋体" w:hAnsi="宋体"/>
          <w:color w:val="000000"/>
        </w:rPr>
        <w:t>失水比例相同的情况下，外层细胞更易发生质壁分离</w:t>
      </w:r>
    </w:p>
    <w:p w14:paraId="408369A7" w14:textId="77777777" w:rsidR="006A50FF" w:rsidRDefault="00000000">
      <w:pPr>
        <w:spacing w:line="360" w:lineRule="auto"/>
        <w:jc w:val="left"/>
        <w:textAlignment w:val="center"/>
        <w:rPr>
          <w:color w:val="000000"/>
        </w:rPr>
      </w:pPr>
      <w:r>
        <w:rPr>
          <w:color w:val="000000"/>
        </w:rPr>
        <w:t xml:space="preserve">D. </w:t>
      </w:r>
      <w:r>
        <w:rPr>
          <w:rFonts w:ascii="宋体" w:hAnsi="宋体"/>
          <w:color w:val="000000"/>
        </w:rPr>
        <w:t>干旱环境下内部薄壁细胞合成多糖的速率更快，有利于外层细胞的光合作用</w:t>
      </w:r>
    </w:p>
    <w:p w14:paraId="0C78F926" w14:textId="77777777" w:rsidR="006A50FF" w:rsidRDefault="00000000">
      <w:pPr>
        <w:spacing w:line="360" w:lineRule="auto"/>
        <w:jc w:val="left"/>
        <w:textAlignment w:val="center"/>
        <w:rPr>
          <w:color w:val="000000"/>
        </w:rPr>
      </w:pPr>
      <w:r>
        <w:rPr>
          <w:color w:val="000000"/>
        </w:rPr>
        <w:t xml:space="preserve">5. </w:t>
      </w:r>
      <w:r>
        <w:rPr>
          <w:rFonts w:ascii="宋体" w:hAnsi="宋体"/>
          <w:color w:val="000000"/>
        </w:rPr>
        <w:t>制备荧光标记的</w:t>
      </w:r>
      <w:r>
        <w:rPr>
          <w:rFonts w:eastAsia="Times New Roman" w:cs="Times New Roman"/>
          <w:color w:val="000000"/>
        </w:rPr>
        <w:t>DNA</w:t>
      </w:r>
      <w:r>
        <w:rPr>
          <w:rFonts w:ascii="宋体" w:hAnsi="宋体"/>
          <w:color w:val="000000"/>
        </w:rPr>
        <w:t>探针时，需要模板、引物、</w:t>
      </w:r>
      <w:r>
        <w:rPr>
          <w:rFonts w:eastAsia="Times New Roman" w:cs="Times New Roman"/>
          <w:color w:val="000000"/>
        </w:rPr>
        <w:t>DNA</w:t>
      </w:r>
      <w:r>
        <w:rPr>
          <w:rFonts w:ascii="宋体" w:hAnsi="宋体"/>
          <w:color w:val="000000"/>
        </w:rPr>
        <w:t>聚合酶等。在只含大肠杆菌</w:t>
      </w:r>
      <w:r>
        <w:rPr>
          <w:rFonts w:eastAsia="Times New Roman" w:cs="Times New Roman"/>
          <w:color w:val="000000"/>
        </w:rPr>
        <w:t>DNA</w:t>
      </w:r>
      <w:r>
        <w:rPr>
          <w:rFonts w:ascii="宋体" w:hAnsi="宋体"/>
          <w:color w:val="000000"/>
        </w:rPr>
        <w:t>聚合酶、扩增缓冲液、</w:t>
      </w:r>
      <w:r>
        <w:rPr>
          <w:rFonts w:eastAsia="Times New Roman" w:cs="Times New Roman"/>
          <w:color w:val="000000"/>
        </w:rPr>
        <w:t>H</w:t>
      </w:r>
      <w:r>
        <w:rPr>
          <w:color w:val="000000"/>
          <w:vertAlign w:val="subscript"/>
        </w:rPr>
        <w:t>2</w:t>
      </w:r>
      <w:r>
        <w:rPr>
          <w:rFonts w:eastAsia="Times New Roman" w:cs="Times New Roman"/>
          <w:color w:val="000000"/>
        </w:rPr>
        <w:t>O</w:t>
      </w:r>
      <w:r>
        <w:rPr>
          <w:rFonts w:ascii="宋体" w:hAnsi="宋体"/>
          <w:color w:val="000000"/>
        </w:rPr>
        <w:t>和</w:t>
      </w:r>
      <w:r>
        <w:rPr>
          <w:rFonts w:eastAsia="Times New Roman" w:cs="Times New Roman"/>
          <w:color w:val="000000"/>
        </w:rPr>
        <w:t>4</w:t>
      </w:r>
      <w:r>
        <w:rPr>
          <w:rFonts w:ascii="宋体" w:hAnsi="宋体"/>
          <w:color w:val="000000"/>
        </w:rPr>
        <w:t>种脱氧核苷酸（</w:t>
      </w:r>
      <w:r>
        <w:rPr>
          <w:rFonts w:eastAsia="Times New Roman" w:cs="Times New Roman"/>
          <w:color w:val="000000"/>
        </w:rPr>
        <w:t>dCTP</w:t>
      </w:r>
      <w:r>
        <w:rPr>
          <w:rFonts w:ascii="宋体" w:hAnsi="宋体"/>
          <w:color w:val="000000"/>
        </w:rPr>
        <w:t>、</w:t>
      </w:r>
      <w:r>
        <w:rPr>
          <w:rFonts w:eastAsia="Times New Roman" w:cs="Times New Roman"/>
          <w:color w:val="000000"/>
        </w:rPr>
        <w:t>dTTP</w:t>
      </w:r>
      <w:r>
        <w:rPr>
          <w:rFonts w:ascii="宋体" w:hAnsi="宋体"/>
          <w:color w:val="000000"/>
        </w:rPr>
        <w:t>、</w:t>
      </w:r>
      <w:r>
        <w:rPr>
          <w:rFonts w:eastAsia="Times New Roman" w:cs="Times New Roman"/>
          <w:color w:val="000000"/>
        </w:rPr>
        <w:t>dGTP</w:t>
      </w:r>
      <w:r>
        <w:rPr>
          <w:rFonts w:ascii="宋体" w:hAnsi="宋体"/>
          <w:color w:val="000000"/>
        </w:rPr>
        <w:t>和碱基被荧光标记的</w:t>
      </w:r>
      <w:r>
        <w:rPr>
          <w:rFonts w:eastAsia="Times New Roman" w:cs="Times New Roman"/>
          <w:color w:val="000000"/>
        </w:rPr>
        <w:t>dATP</w:t>
      </w:r>
      <w:r>
        <w:rPr>
          <w:rFonts w:ascii="宋体" w:hAnsi="宋体"/>
          <w:color w:val="000000"/>
        </w:rPr>
        <w:t>）的反应管①</w:t>
      </w:r>
      <w:r>
        <w:rPr>
          <w:rFonts w:eastAsia="Times New Roman" w:cs="Times New Roman"/>
          <w:color w:val="000000"/>
        </w:rPr>
        <w:t>~</w:t>
      </w:r>
      <w:r>
        <w:rPr>
          <w:rFonts w:ascii="宋体" w:hAnsi="宋体"/>
          <w:color w:val="000000"/>
        </w:rPr>
        <w:t>④中，分别加入如表所示的适量单链</w:t>
      </w:r>
      <w:r>
        <w:rPr>
          <w:rFonts w:eastAsia="Times New Roman" w:cs="Times New Roman"/>
          <w:color w:val="000000"/>
        </w:rPr>
        <w:t>DNA。</w:t>
      </w:r>
      <w:r>
        <w:rPr>
          <w:rFonts w:ascii="宋体" w:hAnsi="宋体"/>
          <w:color w:val="000000"/>
        </w:rPr>
        <w:t>已知形成的双链</w:t>
      </w:r>
      <w:r>
        <w:rPr>
          <w:rFonts w:eastAsia="Times New Roman" w:cs="Times New Roman"/>
          <w:color w:val="000000"/>
        </w:rPr>
        <w:t>DNA</w:t>
      </w:r>
      <w:r>
        <w:rPr>
          <w:rFonts w:ascii="宋体" w:hAnsi="宋体"/>
          <w:color w:val="000000"/>
        </w:rPr>
        <w:t>区遵循碱基互补配对原则，且在本实验的温度条件下不能产生小于</w:t>
      </w:r>
      <w:r>
        <w:rPr>
          <w:rFonts w:eastAsia="Times New Roman" w:cs="Times New Roman"/>
          <w:color w:val="000000"/>
        </w:rPr>
        <w:t>9</w:t>
      </w:r>
      <w:r>
        <w:rPr>
          <w:rFonts w:ascii="宋体" w:hAnsi="宋体"/>
          <w:color w:val="000000"/>
        </w:rPr>
        <w:t>个连续碱基对的双链</w:t>
      </w:r>
      <w:r>
        <w:rPr>
          <w:rFonts w:eastAsia="Times New Roman" w:cs="Times New Roman"/>
          <w:color w:val="000000"/>
        </w:rPr>
        <w:t>DNA</w:t>
      </w:r>
      <w:r>
        <w:rPr>
          <w:rFonts w:ascii="宋体" w:hAnsi="宋体"/>
          <w:color w:val="000000"/>
        </w:rPr>
        <w:t>区。能得到带有荧光标记的</w:t>
      </w:r>
      <w:r>
        <w:rPr>
          <w:rFonts w:eastAsia="Times New Roman" w:cs="Times New Roman"/>
          <w:color w:val="000000"/>
        </w:rPr>
        <w:t>DNA</w:t>
      </w:r>
      <w:r>
        <w:rPr>
          <w:rFonts w:ascii="宋体" w:hAnsi="宋体"/>
          <w:color w:val="000000"/>
        </w:rPr>
        <w:t>探针的反应管有（　　）</w:t>
      </w:r>
    </w:p>
    <w:tbl>
      <w:tblPr>
        <w:tblW w:w="46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firstRow="1" w:lastRow="0" w:firstColumn="1" w:lastColumn="0" w:noHBand="0" w:noVBand="1"/>
      </w:tblPr>
      <w:tblGrid>
        <w:gridCol w:w="1315"/>
        <w:gridCol w:w="3297"/>
      </w:tblGrid>
      <w:tr w:rsidR="006A50FF" w14:paraId="22CE35AF" w14:textId="77777777">
        <w:trPr>
          <w:jc w:val="center"/>
        </w:trPr>
        <w:tc>
          <w:tcPr>
            <w:tcW w:w="131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7FAD33D" w14:textId="77777777" w:rsidR="006A50FF" w:rsidRDefault="00000000">
            <w:pPr>
              <w:spacing w:line="360" w:lineRule="auto"/>
              <w:jc w:val="center"/>
              <w:textAlignment w:val="center"/>
              <w:rPr>
                <w:color w:val="000000"/>
              </w:rPr>
            </w:pPr>
            <w:r>
              <w:rPr>
                <w:rFonts w:ascii="宋体" w:hAnsi="宋体"/>
                <w:color w:val="000000"/>
              </w:rPr>
              <w:t>反应管</w:t>
            </w:r>
          </w:p>
        </w:tc>
        <w:tc>
          <w:tcPr>
            <w:tcW w:w="3297"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C8699FD" w14:textId="77777777" w:rsidR="006A50FF" w:rsidRDefault="00000000">
            <w:pPr>
              <w:spacing w:line="360" w:lineRule="auto"/>
              <w:jc w:val="center"/>
              <w:textAlignment w:val="center"/>
              <w:rPr>
                <w:color w:val="000000"/>
              </w:rPr>
            </w:pPr>
            <w:r>
              <w:rPr>
                <w:rFonts w:ascii="宋体" w:hAnsi="宋体"/>
                <w:color w:val="000000"/>
              </w:rPr>
              <w:t>加入的单链</w:t>
            </w:r>
            <w:r>
              <w:rPr>
                <w:rFonts w:eastAsia="Times New Roman" w:cs="Times New Roman"/>
                <w:color w:val="000000"/>
              </w:rPr>
              <w:t>DNA</w:t>
            </w:r>
          </w:p>
        </w:tc>
      </w:tr>
      <w:tr w:rsidR="006A50FF" w14:paraId="6A764AC1" w14:textId="77777777">
        <w:trPr>
          <w:jc w:val="center"/>
        </w:trPr>
        <w:tc>
          <w:tcPr>
            <w:tcW w:w="131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BEE4BF2" w14:textId="77777777" w:rsidR="006A50FF" w:rsidRDefault="00000000">
            <w:pPr>
              <w:spacing w:line="360" w:lineRule="auto"/>
              <w:jc w:val="center"/>
              <w:textAlignment w:val="center"/>
              <w:rPr>
                <w:color w:val="000000"/>
              </w:rPr>
            </w:pPr>
            <w:r>
              <w:rPr>
                <w:rFonts w:ascii="宋体" w:hAnsi="宋体"/>
                <w:color w:val="000000"/>
              </w:rPr>
              <w:t>①</w:t>
            </w:r>
          </w:p>
        </w:tc>
        <w:tc>
          <w:tcPr>
            <w:tcW w:w="3297"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FE466CB" w14:textId="77777777" w:rsidR="006A50FF" w:rsidRDefault="00000000">
            <w:pPr>
              <w:spacing w:line="360" w:lineRule="auto"/>
              <w:jc w:val="left"/>
              <w:textAlignment w:val="center"/>
              <w:rPr>
                <w:color w:val="000000"/>
              </w:rPr>
            </w:pPr>
            <w:r>
              <w:rPr>
                <w:rFonts w:eastAsia="Times New Roman" w:cs="Times New Roman"/>
                <w:color w:val="000000"/>
              </w:rPr>
              <w:t xml:space="preserve">          5'-GCCGATCTTTATA-3'</w:t>
            </w:r>
          </w:p>
          <w:p w14:paraId="58485874" w14:textId="77777777" w:rsidR="006A50FF" w:rsidRDefault="00000000">
            <w:pPr>
              <w:spacing w:line="360" w:lineRule="auto"/>
              <w:jc w:val="left"/>
              <w:textAlignment w:val="center"/>
              <w:rPr>
                <w:color w:val="000000"/>
              </w:rPr>
            </w:pPr>
            <w:r>
              <w:rPr>
                <w:rFonts w:eastAsia="Times New Roman" w:cs="Times New Roman"/>
                <w:color w:val="000000"/>
              </w:rPr>
              <w:lastRenderedPageBreak/>
              <w:t>3'-GACCGGCTAGAAA-5'</w:t>
            </w:r>
          </w:p>
        </w:tc>
      </w:tr>
      <w:tr w:rsidR="006A50FF" w14:paraId="49989525" w14:textId="77777777">
        <w:trPr>
          <w:jc w:val="center"/>
        </w:trPr>
        <w:tc>
          <w:tcPr>
            <w:tcW w:w="131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71ECE8A" w14:textId="77777777" w:rsidR="006A50FF" w:rsidRDefault="00000000">
            <w:pPr>
              <w:spacing w:line="360" w:lineRule="auto"/>
              <w:jc w:val="center"/>
              <w:textAlignment w:val="center"/>
              <w:rPr>
                <w:color w:val="000000"/>
              </w:rPr>
            </w:pPr>
            <w:r>
              <w:rPr>
                <w:rFonts w:ascii="宋体" w:hAnsi="宋体"/>
                <w:color w:val="000000"/>
              </w:rPr>
              <w:lastRenderedPageBreak/>
              <w:t>②</w:t>
            </w:r>
          </w:p>
        </w:tc>
        <w:tc>
          <w:tcPr>
            <w:tcW w:w="3297"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3E66AB5" w14:textId="77777777" w:rsidR="006A50FF" w:rsidRDefault="00000000">
            <w:pPr>
              <w:spacing w:line="360" w:lineRule="auto"/>
              <w:jc w:val="left"/>
              <w:textAlignment w:val="center"/>
              <w:rPr>
                <w:color w:val="000000"/>
              </w:rPr>
            </w:pPr>
            <w:r>
              <w:rPr>
                <w:rFonts w:eastAsia="Times New Roman" w:cs="Times New Roman"/>
                <w:color w:val="000000"/>
              </w:rPr>
              <w:t>5'-AGAGCCAATTGGC-3'</w:t>
            </w:r>
          </w:p>
        </w:tc>
      </w:tr>
      <w:tr w:rsidR="006A50FF" w14:paraId="62CFFE5C" w14:textId="77777777">
        <w:trPr>
          <w:jc w:val="center"/>
        </w:trPr>
        <w:tc>
          <w:tcPr>
            <w:tcW w:w="131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D9E7BC9" w14:textId="77777777" w:rsidR="006A50FF" w:rsidRDefault="00000000">
            <w:pPr>
              <w:spacing w:line="360" w:lineRule="auto"/>
              <w:jc w:val="center"/>
              <w:textAlignment w:val="center"/>
              <w:rPr>
                <w:color w:val="000000"/>
              </w:rPr>
            </w:pPr>
            <w:r>
              <w:rPr>
                <w:rFonts w:ascii="宋体" w:hAnsi="宋体"/>
                <w:color w:val="000000"/>
              </w:rPr>
              <w:t>③</w:t>
            </w:r>
          </w:p>
        </w:tc>
        <w:tc>
          <w:tcPr>
            <w:tcW w:w="3297"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3FFDBEF" w14:textId="77777777" w:rsidR="006A50FF" w:rsidRDefault="00000000">
            <w:pPr>
              <w:spacing w:line="360" w:lineRule="auto"/>
              <w:jc w:val="left"/>
              <w:textAlignment w:val="center"/>
              <w:rPr>
                <w:color w:val="000000"/>
              </w:rPr>
            </w:pPr>
            <w:r>
              <w:rPr>
                <w:rFonts w:eastAsia="Times New Roman" w:cs="Times New Roman"/>
                <w:color w:val="000000"/>
              </w:rPr>
              <w:t>5'-ATTTCCCGATCCG-3'</w:t>
            </w:r>
          </w:p>
          <w:p w14:paraId="49A53ADD" w14:textId="77777777" w:rsidR="006A50FF" w:rsidRDefault="00000000">
            <w:pPr>
              <w:spacing w:line="360" w:lineRule="auto"/>
              <w:jc w:val="left"/>
              <w:textAlignment w:val="center"/>
              <w:rPr>
                <w:color w:val="000000"/>
              </w:rPr>
            </w:pPr>
            <w:r>
              <w:rPr>
                <w:rFonts w:eastAsia="Times New Roman" w:cs="Times New Roman"/>
                <w:color w:val="000000"/>
              </w:rPr>
              <w:t xml:space="preserve">       3'-AGGGCTAGGCATA-5'</w:t>
            </w:r>
          </w:p>
        </w:tc>
      </w:tr>
      <w:tr w:rsidR="006A50FF" w14:paraId="1EB93E65" w14:textId="77777777">
        <w:trPr>
          <w:jc w:val="center"/>
        </w:trPr>
        <w:tc>
          <w:tcPr>
            <w:tcW w:w="131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05DF399" w14:textId="77777777" w:rsidR="006A50FF" w:rsidRDefault="00000000">
            <w:pPr>
              <w:spacing w:line="360" w:lineRule="auto"/>
              <w:jc w:val="center"/>
              <w:textAlignment w:val="center"/>
              <w:rPr>
                <w:color w:val="000000"/>
              </w:rPr>
            </w:pPr>
            <w:r>
              <w:rPr>
                <w:rFonts w:ascii="宋体" w:hAnsi="宋体"/>
                <w:color w:val="000000"/>
              </w:rPr>
              <w:t>④</w:t>
            </w:r>
          </w:p>
        </w:tc>
        <w:tc>
          <w:tcPr>
            <w:tcW w:w="3297"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F572F2B" w14:textId="77777777" w:rsidR="006A50FF" w:rsidRDefault="00000000">
            <w:pPr>
              <w:spacing w:line="360" w:lineRule="auto"/>
              <w:jc w:val="left"/>
              <w:textAlignment w:val="center"/>
              <w:rPr>
                <w:color w:val="000000"/>
              </w:rPr>
            </w:pPr>
            <w:r>
              <w:rPr>
                <w:rFonts w:eastAsia="Times New Roman" w:cs="Times New Roman"/>
                <w:color w:val="000000"/>
              </w:rPr>
              <w:t>5'-TTCACTGGCCAGT-3'</w:t>
            </w:r>
          </w:p>
        </w:tc>
      </w:tr>
    </w:tbl>
    <w:p w14:paraId="439B5DE4" w14:textId="77777777" w:rsidR="006A50FF" w:rsidRDefault="006A50FF">
      <w:pPr>
        <w:spacing w:line="360" w:lineRule="auto"/>
        <w:jc w:val="left"/>
        <w:textAlignment w:val="center"/>
        <w:rPr>
          <w:color w:val="000000"/>
        </w:rPr>
      </w:pPr>
    </w:p>
    <w:p w14:paraId="3A6DCC52" w14:textId="77777777" w:rsidR="006A50FF" w:rsidRDefault="00000000">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①②</w:t>
      </w:r>
      <w:r>
        <w:rPr>
          <w:color w:val="000000"/>
        </w:rPr>
        <w:tab/>
        <w:t xml:space="preserve">B. </w:t>
      </w:r>
      <w:r>
        <w:rPr>
          <w:rFonts w:ascii="宋体" w:hAnsi="宋体"/>
          <w:color w:val="000000"/>
        </w:rPr>
        <w:t>②③</w:t>
      </w:r>
      <w:r>
        <w:rPr>
          <w:color w:val="000000"/>
        </w:rPr>
        <w:tab/>
        <w:t xml:space="preserve">C. </w:t>
      </w:r>
      <w:r>
        <w:rPr>
          <w:rFonts w:ascii="宋体" w:hAnsi="宋体"/>
          <w:color w:val="000000"/>
        </w:rPr>
        <w:t>①④</w:t>
      </w:r>
      <w:r>
        <w:rPr>
          <w:color w:val="000000"/>
        </w:rPr>
        <w:tab/>
        <w:t xml:space="preserve">D. </w:t>
      </w:r>
      <w:r>
        <w:rPr>
          <w:rFonts w:ascii="宋体" w:hAnsi="宋体"/>
          <w:color w:val="000000"/>
        </w:rPr>
        <w:t>③④</w:t>
      </w:r>
    </w:p>
    <w:p w14:paraId="21442D1F" w14:textId="77777777" w:rsidR="006A50FF" w:rsidRDefault="00000000">
      <w:pPr>
        <w:spacing w:line="360" w:lineRule="auto"/>
        <w:jc w:val="left"/>
        <w:textAlignment w:val="center"/>
        <w:rPr>
          <w:color w:val="000000"/>
        </w:rPr>
      </w:pPr>
      <w:r>
        <w:rPr>
          <w:color w:val="000000"/>
        </w:rPr>
        <w:t xml:space="preserve">6. </w:t>
      </w:r>
      <w:r>
        <w:rPr>
          <w:rFonts w:ascii="宋体" w:hAnsi="宋体"/>
          <w:color w:val="000000"/>
        </w:rPr>
        <w:t>某二倍体生物通过无性繁殖获得二倍体子代的机制有</w:t>
      </w:r>
      <w:r>
        <w:rPr>
          <w:rFonts w:eastAsia="Times New Roman" w:cs="Times New Roman"/>
          <w:color w:val="000000"/>
        </w:rPr>
        <w:t>3</w:t>
      </w:r>
      <w:r>
        <w:rPr>
          <w:rFonts w:ascii="宋体" w:hAnsi="宋体"/>
          <w:color w:val="000000"/>
        </w:rPr>
        <w:t>种：①配子中染色体复制</w:t>
      </w:r>
      <w:r>
        <w:rPr>
          <w:rFonts w:eastAsia="Times New Roman" w:cs="Times New Roman"/>
          <w:color w:val="000000"/>
        </w:rPr>
        <w:t>1</w:t>
      </w:r>
      <w:r>
        <w:rPr>
          <w:rFonts w:ascii="宋体" w:hAnsi="宋体"/>
          <w:color w:val="000000"/>
        </w:rPr>
        <w:t>次；②减数分裂Ⅰ正常，减数分裂Ⅱ姐妹染色单体分离但细胞不分裂；③减数分裂Ⅰ细胞不分裂，减数分裂Ⅱ时每个四分体形成的</w:t>
      </w:r>
      <w:r>
        <w:rPr>
          <w:rFonts w:eastAsia="Times New Roman" w:cs="Times New Roman"/>
          <w:color w:val="000000"/>
        </w:rPr>
        <w:t>4</w:t>
      </w:r>
      <w:r>
        <w:rPr>
          <w:rFonts w:ascii="宋体" w:hAnsi="宋体"/>
          <w:color w:val="000000"/>
        </w:rPr>
        <w:t>条染色体中任意</w:t>
      </w:r>
      <w:r>
        <w:rPr>
          <w:rFonts w:eastAsia="Times New Roman" w:cs="Times New Roman"/>
          <w:color w:val="000000"/>
        </w:rPr>
        <w:t>2</w:t>
      </w:r>
      <w:r>
        <w:rPr>
          <w:rFonts w:ascii="宋体" w:hAnsi="宋体"/>
          <w:color w:val="000000"/>
        </w:rPr>
        <w:t>条进入</w:t>
      </w:r>
      <w:r>
        <w:rPr>
          <w:rFonts w:eastAsia="Times New Roman" w:cs="Times New Roman"/>
          <w:color w:val="000000"/>
        </w:rPr>
        <w:t>1</w:t>
      </w:r>
      <w:r>
        <w:rPr>
          <w:rFonts w:ascii="宋体" w:hAnsi="宋体"/>
          <w:color w:val="000000"/>
        </w:rPr>
        <w:t>个子细胞。某个体的</w:t>
      </w:r>
      <w:r>
        <w:rPr>
          <w:rFonts w:eastAsia="Times New Roman" w:cs="Times New Roman"/>
          <w:color w:val="000000"/>
        </w:rPr>
        <w:t>1</w:t>
      </w:r>
      <w:r>
        <w:rPr>
          <w:rFonts w:ascii="宋体" w:hAnsi="宋体"/>
          <w:color w:val="000000"/>
        </w:rPr>
        <w:t>号染色体所含全部基因如图所示，其中</w:t>
      </w:r>
      <w:r>
        <w:rPr>
          <w:rFonts w:eastAsia="Times New Roman" w:cs="Times New Roman"/>
          <w:color w:val="000000"/>
        </w:rPr>
        <w:t>A</w:t>
      </w:r>
      <w:r>
        <w:rPr>
          <w:color w:val="000000"/>
          <w:vertAlign w:val="subscript"/>
        </w:rPr>
        <w:t>1</w:t>
      </w:r>
      <w:r>
        <w:rPr>
          <w:rFonts w:ascii="宋体" w:hAnsi="宋体"/>
          <w:color w:val="000000"/>
        </w:rPr>
        <w:t>、</w:t>
      </w:r>
      <w:r>
        <w:rPr>
          <w:rFonts w:eastAsia="Times New Roman" w:cs="Times New Roman"/>
          <w:color w:val="000000"/>
        </w:rPr>
        <w:t>A</w:t>
      </w:r>
      <w:r>
        <w:rPr>
          <w:color w:val="000000"/>
          <w:vertAlign w:val="subscript"/>
        </w:rPr>
        <w:t>2</w:t>
      </w:r>
      <w:r>
        <w:rPr>
          <w:rFonts w:ascii="宋体" w:hAnsi="宋体"/>
          <w:color w:val="000000"/>
        </w:rPr>
        <w:t>为显性基因，</w:t>
      </w:r>
      <w:r>
        <w:rPr>
          <w:rFonts w:eastAsia="Times New Roman" w:cs="Times New Roman"/>
          <w:color w:val="000000"/>
        </w:rPr>
        <w:t>a</w:t>
      </w:r>
      <w:r>
        <w:rPr>
          <w:color w:val="000000"/>
          <w:vertAlign w:val="subscript"/>
        </w:rPr>
        <w:t>1</w:t>
      </w:r>
      <w:r>
        <w:rPr>
          <w:rFonts w:ascii="宋体" w:hAnsi="宋体"/>
          <w:color w:val="000000"/>
        </w:rPr>
        <w:t>、</w:t>
      </w:r>
      <w:r>
        <w:rPr>
          <w:rFonts w:eastAsia="Times New Roman" w:cs="Times New Roman"/>
          <w:color w:val="000000"/>
        </w:rPr>
        <w:t>a</w:t>
      </w:r>
      <w:r>
        <w:rPr>
          <w:color w:val="000000"/>
          <w:vertAlign w:val="subscript"/>
        </w:rPr>
        <w:t>2</w:t>
      </w:r>
      <w:r>
        <w:rPr>
          <w:rFonts w:ascii="宋体" w:hAnsi="宋体"/>
          <w:color w:val="000000"/>
        </w:rPr>
        <w:t>为隐性基因。该个体通过无性繁殖获得了某个二倍体子代，该子代体细胞中所有</w:t>
      </w:r>
      <w:r>
        <w:rPr>
          <w:rFonts w:eastAsia="Times New Roman" w:cs="Times New Roman"/>
          <w:color w:val="000000"/>
        </w:rPr>
        <w:t>1</w:t>
      </w:r>
      <w:r>
        <w:rPr>
          <w:rFonts w:ascii="宋体" w:hAnsi="宋体"/>
          <w:color w:val="000000"/>
        </w:rPr>
        <w:t>号染色体上的显性基因数与隐性基因数相等。已知发育为该子代的细胞在四分体时，</w:t>
      </w:r>
      <w:r>
        <w:rPr>
          <w:rFonts w:eastAsia="Times New Roman" w:cs="Times New Roman"/>
          <w:color w:val="000000"/>
        </w:rPr>
        <w:t>1</w:t>
      </w:r>
      <w:r>
        <w:rPr>
          <w:rFonts w:ascii="宋体" w:hAnsi="宋体"/>
          <w:color w:val="000000"/>
        </w:rPr>
        <w:t>号染色体仅</w:t>
      </w:r>
      <w:r>
        <w:rPr>
          <w:rFonts w:eastAsia="Times New Roman" w:cs="Times New Roman"/>
          <w:color w:val="000000"/>
        </w:rPr>
        <w:t>2</w:t>
      </w:r>
      <w:r>
        <w:rPr>
          <w:rFonts w:ascii="宋体" w:hAnsi="宋体"/>
          <w:color w:val="000000"/>
        </w:rPr>
        <w:t>条非姐妹染色单体发生了</w:t>
      </w:r>
      <w:r>
        <w:rPr>
          <w:rFonts w:eastAsia="Times New Roman" w:cs="Times New Roman"/>
          <w:color w:val="000000"/>
        </w:rPr>
        <w:t>1</w:t>
      </w:r>
      <w:r>
        <w:rPr>
          <w:rFonts w:ascii="宋体" w:hAnsi="宋体"/>
          <w:color w:val="000000"/>
        </w:rPr>
        <w:t>次互换并引起了基因重组。不考虑突变，获得该子代的所有可能机制为（　　）</w:t>
      </w:r>
    </w:p>
    <w:p w14:paraId="4F83D51A" w14:textId="77777777" w:rsidR="006A50FF" w:rsidRDefault="00000000">
      <w:pPr>
        <w:spacing w:line="360" w:lineRule="auto"/>
        <w:jc w:val="center"/>
        <w:textAlignment w:val="center"/>
        <w:rPr>
          <w:color w:val="000000"/>
        </w:rPr>
      </w:pPr>
      <w:r>
        <w:rPr>
          <w:noProof/>
          <w:color w:val="000000"/>
        </w:rPr>
        <w:drawing>
          <wp:inline distT="0" distB="0" distL="114300" distR="114300" wp14:anchorId="31E78785" wp14:editId="1A46B496">
            <wp:extent cx="1228725" cy="1190625"/>
            <wp:effectExtent l="0" t="0" r="9525" b="9525"/>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6"/>
                    <a:stretch>
                      <a:fillRect/>
                    </a:stretch>
                  </pic:blipFill>
                  <pic:spPr>
                    <a:xfrm>
                      <a:off x="0" y="0"/>
                      <a:ext cx="1228725" cy="1190625"/>
                    </a:xfrm>
                    <a:prstGeom prst="rect">
                      <a:avLst/>
                    </a:prstGeom>
                  </pic:spPr>
                </pic:pic>
              </a:graphicData>
            </a:graphic>
          </wp:inline>
        </w:drawing>
      </w:r>
    </w:p>
    <w:p w14:paraId="0F93344B" w14:textId="77777777" w:rsidR="006A50FF" w:rsidRDefault="00000000">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①②</w:t>
      </w:r>
      <w:r>
        <w:rPr>
          <w:color w:val="000000"/>
        </w:rPr>
        <w:tab/>
        <w:t xml:space="preserve">B. </w:t>
      </w:r>
      <w:r>
        <w:rPr>
          <w:rFonts w:ascii="宋体" w:hAnsi="宋体"/>
          <w:color w:val="000000"/>
        </w:rPr>
        <w:t>①③</w:t>
      </w:r>
      <w:r>
        <w:rPr>
          <w:color w:val="000000"/>
        </w:rPr>
        <w:tab/>
        <w:t xml:space="preserve">C. </w:t>
      </w:r>
      <w:r>
        <w:rPr>
          <w:rFonts w:ascii="宋体" w:hAnsi="宋体"/>
          <w:color w:val="000000"/>
        </w:rPr>
        <w:t>②③</w:t>
      </w:r>
      <w:r>
        <w:rPr>
          <w:color w:val="000000"/>
        </w:rPr>
        <w:tab/>
        <w:t xml:space="preserve">D. </w:t>
      </w:r>
      <w:r>
        <w:rPr>
          <w:rFonts w:ascii="宋体" w:hAnsi="宋体"/>
          <w:color w:val="000000"/>
        </w:rPr>
        <w:t>①②③</w:t>
      </w:r>
    </w:p>
    <w:p w14:paraId="1D49DFAA" w14:textId="77777777" w:rsidR="006A50FF" w:rsidRDefault="00000000">
      <w:pPr>
        <w:spacing w:line="360" w:lineRule="auto"/>
        <w:jc w:val="left"/>
        <w:textAlignment w:val="center"/>
        <w:rPr>
          <w:color w:val="000000"/>
        </w:rPr>
      </w:pPr>
      <w:r>
        <w:rPr>
          <w:color w:val="000000"/>
        </w:rPr>
        <w:t xml:space="preserve">7. </w:t>
      </w:r>
      <w:r>
        <w:rPr>
          <w:rFonts w:ascii="宋体" w:hAnsi="宋体"/>
          <w:color w:val="000000"/>
        </w:rPr>
        <w:t>乙型肝炎病毒（</w:t>
      </w:r>
      <w:r>
        <w:rPr>
          <w:rFonts w:eastAsia="Times New Roman" w:cs="Times New Roman"/>
          <w:color w:val="000000"/>
        </w:rPr>
        <w:t>HBV</w:t>
      </w:r>
      <w:r>
        <w:rPr>
          <w:rFonts w:ascii="宋体" w:hAnsi="宋体"/>
          <w:color w:val="000000"/>
        </w:rPr>
        <w:t>）的结构模式图如图所示。</w:t>
      </w:r>
      <w:r>
        <w:rPr>
          <w:rFonts w:eastAsia="Times New Roman" w:cs="Times New Roman"/>
          <w:color w:val="000000"/>
        </w:rPr>
        <w:t>HBV</w:t>
      </w:r>
      <w:r>
        <w:rPr>
          <w:rFonts w:ascii="宋体" w:hAnsi="宋体"/>
          <w:color w:val="000000"/>
        </w:rPr>
        <w:t>与肝细胞吸附结合后，脱去含有表面抗原的包膜，进入肝细胞后再脱去由核心抗原组成的衣壳，大量增殖形成新的</w:t>
      </w:r>
      <w:r>
        <w:rPr>
          <w:rFonts w:eastAsia="Times New Roman" w:cs="Times New Roman"/>
          <w:color w:val="000000"/>
        </w:rPr>
        <w:t>HBV</w:t>
      </w:r>
      <w:r>
        <w:rPr>
          <w:rFonts w:ascii="宋体" w:hAnsi="宋体"/>
          <w:color w:val="000000"/>
        </w:rPr>
        <w:t>，释放后再感染其他肝细胞。下列说法正确的是（　　）</w:t>
      </w:r>
    </w:p>
    <w:p w14:paraId="36163C00" w14:textId="77777777" w:rsidR="006A50FF" w:rsidRDefault="00000000">
      <w:pPr>
        <w:spacing w:line="360" w:lineRule="auto"/>
        <w:jc w:val="center"/>
        <w:textAlignment w:val="center"/>
        <w:rPr>
          <w:color w:val="000000"/>
        </w:rPr>
      </w:pPr>
      <w:r>
        <w:rPr>
          <w:noProof/>
          <w:color w:val="000000"/>
        </w:rPr>
        <w:lastRenderedPageBreak/>
        <w:drawing>
          <wp:inline distT="0" distB="0" distL="114300" distR="114300" wp14:anchorId="258AABF8" wp14:editId="53F41BE3">
            <wp:extent cx="1647825" cy="1743075"/>
            <wp:effectExtent l="0" t="0" r="9525" b="9525"/>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7"/>
                    <a:stretch>
                      <a:fillRect/>
                    </a:stretch>
                  </pic:blipFill>
                  <pic:spPr>
                    <a:xfrm>
                      <a:off x="0" y="0"/>
                      <a:ext cx="1647825" cy="1743075"/>
                    </a:xfrm>
                    <a:prstGeom prst="rect">
                      <a:avLst/>
                    </a:prstGeom>
                  </pic:spPr>
                </pic:pic>
              </a:graphicData>
            </a:graphic>
          </wp:inline>
        </w:drawing>
      </w:r>
    </w:p>
    <w:p w14:paraId="0E088B2B" w14:textId="77777777" w:rsidR="006A50FF" w:rsidRDefault="00000000">
      <w:pPr>
        <w:spacing w:line="360" w:lineRule="auto"/>
        <w:jc w:val="left"/>
        <w:textAlignment w:val="center"/>
        <w:rPr>
          <w:color w:val="000000"/>
        </w:rPr>
      </w:pPr>
      <w:r>
        <w:rPr>
          <w:color w:val="000000"/>
        </w:rPr>
        <w:t xml:space="preserve">A. </w:t>
      </w:r>
      <w:r>
        <w:rPr>
          <w:rFonts w:ascii="宋体" w:hAnsi="宋体"/>
          <w:color w:val="000000"/>
        </w:rPr>
        <w:t>树突状细胞识别</w:t>
      </w:r>
      <w:r>
        <w:rPr>
          <w:rFonts w:eastAsia="Times New Roman" w:cs="Times New Roman"/>
          <w:color w:val="000000"/>
        </w:rPr>
        <w:t>HBV</w:t>
      </w:r>
      <w:r>
        <w:rPr>
          <w:rFonts w:ascii="宋体" w:hAnsi="宋体"/>
          <w:color w:val="000000"/>
        </w:rPr>
        <w:t>后只发挥其吞噬功能</w:t>
      </w:r>
    </w:p>
    <w:p w14:paraId="78CFA8D0" w14:textId="77777777" w:rsidR="006A50FF" w:rsidRDefault="00000000">
      <w:pPr>
        <w:spacing w:line="360" w:lineRule="auto"/>
        <w:jc w:val="left"/>
        <w:textAlignment w:val="center"/>
        <w:rPr>
          <w:color w:val="000000"/>
        </w:rPr>
      </w:pPr>
      <w:r>
        <w:rPr>
          <w:color w:val="000000"/>
        </w:rPr>
        <w:t xml:space="preserve">B. </w:t>
      </w:r>
      <w:r>
        <w:rPr>
          <w:rFonts w:ascii="宋体" w:hAnsi="宋体"/>
          <w:color w:val="000000"/>
        </w:rPr>
        <w:t>辅助性</w:t>
      </w:r>
      <w:r>
        <w:rPr>
          <w:rFonts w:eastAsia="Times New Roman" w:cs="Times New Roman"/>
          <w:color w:val="000000"/>
        </w:rPr>
        <w:t>T</w:t>
      </w:r>
      <w:r>
        <w:rPr>
          <w:rFonts w:ascii="宋体" w:hAnsi="宋体"/>
          <w:color w:val="000000"/>
        </w:rPr>
        <w:t>细胞识别并裂解被</w:t>
      </w:r>
      <w:r>
        <w:rPr>
          <w:rFonts w:eastAsia="Times New Roman" w:cs="Times New Roman"/>
          <w:color w:val="000000"/>
        </w:rPr>
        <w:t>HBV</w:t>
      </w:r>
      <w:r>
        <w:rPr>
          <w:rFonts w:ascii="宋体" w:hAnsi="宋体"/>
          <w:color w:val="000000"/>
        </w:rPr>
        <w:t>感染的肝细胞</w:t>
      </w:r>
    </w:p>
    <w:p w14:paraId="518C3C9B" w14:textId="77777777" w:rsidR="006A50FF" w:rsidRDefault="00000000">
      <w:pPr>
        <w:spacing w:line="360" w:lineRule="auto"/>
        <w:jc w:val="left"/>
        <w:textAlignment w:val="center"/>
        <w:rPr>
          <w:color w:val="000000"/>
        </w:rPr>
      </w:pPr>
      <w:r>
        <w:rPr>
          <w:color w:val="000000"/>
        </w:rPr>
        <w:t xml:space="preserve">C. </w:t>
      </w:r>
      <w:r>
        <w:rPr>
          <w:rFonts w:ascii="宋体" w:hAnsi="宋体"/>
          <w:color w:val="000000"/>
        </w:rPr>
        <w:t>根据表面抗原可制备预防乙型肝炎的乙肝疫苗</w:t>
      </w:r>
    </w:p>
    <w:p w14:paraId="0BFDE8B1" w14:textId="77777777" w:rsidR="006A50FF" w:rsidRDefault="00000000">
      <w:pPr>
        <w:spacing w:line="360" w:lineRule="auto"/>
        <w:jc w:val="left"/>
        <w:textAlignment w:val="center"/>
        <w:rPr>
          <w:color w:val="000000"/>
        </w:rPr>
      </w:pPr>
      <w:r>
        <w:rPr>
          <w:color w:val="000000"/>
        </w:rPr>
        <w:t xml:space="preserve">D. </w:t>
      </w:r>
      <w:r>
        <w:rPr>
          <w:rFonts w:ascii="宋体" w:hAnsi="宋体"/>
          <w:color w:val="000000"/>
        </w:rPr>
        <w:t>核心抗原诱导机体产生特异性抗体的过程属于细胞免疫</w:t>
      </w:r>
    </w:p>
    <w:p w14:paraId="26D494BC" w14:textId="77777777" w:rsidR="006A50FF" w:rsidRDefault="00000000">
      <w:pPr>
        <w:spacing w:line="360" w:lineRule="auto"/>
        <w:jc w:val="left"/>
        <w:textAlignment w:val="center"/>
        <w:rPr>
          <w:color w:val="000000"/>
        </w:rPr>
      </w:pPr>
      <w:r>
        <w:rPr>
          <w:color w:val="000000"/>
        </w:rPr>
        <w:t xml:space="preserve">8. </w:t>
      </w:r>
      <w:r>
        <w:rPr>
          <w:rFonts w:ascii="宋体" w:hAnsi="宋体"/>
          <w:color w:val="000000"/>
        </w:rPr>
        <w:t>如图为人类某单基因遗传病的系谱图。不考虑</w:t>
      </w:r>
      <w:r>
        <w:rPr>
          <w:rFonts w:eastAsia="Times New Roman" w:cs="Times New Roman"/>
          <w:color w:val="000000"/>
        </w:rPr>
        <w:t>X</w:t>
      </w:r>
      <w:r>
        <w:rPr>
          <w:rFonts w:ascii="宋体" w:hAnsi="宋体"/>
          <w:color w:val="000000"/>
        </w:rPr>
        <w:t>、</w:t>
      </w:r>
      <w:r>
        <w:rPr>
          <w:rFonts w:eastAsia="Times New Roman" w:cs="Times New Roman"/>
          <w:color w:val="000000"/>
        </w:rPr>
        <w:t>Y</w:t>
      </w:r>
      <w:r>
        <w:rPr>
          <w:rFonts w:ascii="宋体" w:hAnsi="宋体"/>
          <w:color w:val="000000"/>
        </w:rPr>
        <w:t>染色体同源区段和突变，下列推断错误的是（　　）</w:t>
      </w:r>
    </w:p>
    <w:p w14:paraId="445AC03F" w14:textId="77777777" w:rsidR="006A50FF" w:rsidRDefault="00000000">
      <w:pPr>
        <w:spacing w:line="360" w:lineRule="auto"/>
        <w:jc w:val="center"/>
        <w:textAlignment w:val="center"/>
        <w:rPr>
          <w:color w:val="000000"/>
        </w:rPr>
      </w:pPr>
      <w:r>
        <w:rPr>
          <w:noProof/>
          <w:color w:val="000000"/>
        </w:rPr>
        <w:drawing>
          <wp:inline distT="0" distB="0" distL="114300" distR="114300" wp14:anchorId="56DEC8A7" wp14:editId="3BC48BCE">
            <wp:extent cx="2790825" cy="1952625"/>
            <wp:effectExtent l="0" t="0" r="0" b="0"/>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8"/>
                    <a:stretch>
                      <a:fillRect/>
                    </a:stretch>
                  </pic:blipFill>
                  <pic:spPr>
                    <a:xfrm>
                      <a:off x="0" y="0"/>
                      <a:ext cx="2790825" cy="1952625"/>
                    </a:xfrm>
                    <a:prstGeom prst="rect">
                      <a:avLst/>
                    </a:prstGeom>
                  </pic:spPr>
                </pic:pic>
              </a:graphicData>
            </a:graphic>
          </wp:inline>
        </w:drawing>
      </w:r>
    </w:p>
    <w:p w14:paraId="688E0375" w14:textId="77777777" w:rsidR="006A50FF" w:rsidRDefault="00000000">
      <w:pPr>
        <w:spacing w:line="360" w:lineRule="auto"/>
        <w:jc w:val="left"/>
        <w:textAlignment w:val="center"/>
        <w:rPr>
          <w:color w:val="000000"/>
        </w:rPr>
      </w:pPr>
      <w:r>
        <w:rPr>
          <w:color w:val="000000"/>
        </w:rPr>
        <w:t xml:space="preserve">A. </w:t>
      </w:r>
      <w:r>
        <w:rPr>
          <w:rFonts w:ascii="宋体" w:hAnsi="宋体"/>
          <w:color w:val="000000"/>
        </w:rPr>
        <w:t>该致病基因不位于</w:t>
      </w:r>
      <w:r>
        <w:rPr>
          <w:rFonts w:eastAsia="Times New Roman" w:cs="Times New Roman"/>
          <w:color w:val="000000"/>
        </w:rPr>
        <w:t>Y</w:t>
      </w:r>
      <w:r>
        <w:rPr>
          <w:rFonts w:ascii="宋体" w:hAnsi="宋体"/>
          <w:color w:val="000000"/>
        </w:rPr>
        <w:t>染色体上</w:t>
      </w:r>
    </w:p>
    <w:p w14:paraId="2B277FCA" w14:textId="77777777" w:rsidR="006A50FF" w:rsidRDefault="00000000">
      <w:pPr>
        <w:spacing w:line="360" w:lineRule="auto"/>
        <w:jc w:val="left"/>
        <w:textAlignment w:val="center"/>
        <w:rPr>
          <w:color w:val="000000"/>
        </w:rPr>
      </w:pPr>
      <w:r>
        <w:rPr>
          <w:color w:val="000000"/>
        </w:rPr>
        <w:t xml:space="preserve">B. </w:t>
      </w:r>
      <w:r>
        <w:rPr>
          <w:rFonts w:ascii="宋体" w:hAnsi="宋体"/>
          <w:color w:val="000000"/>
        </w:rPr>
        <w:t>若Ⅱ</w:t>
      </w:r>
      <w:r>
        <w:rPr>
          <w:rFonts w:eastAsia="Times New Roman" w:cs="Times New Roman"/>
          <w:color w:val="000000"/>
        </w:rPr>
        <w:t>-1</w:t>
      </w:r>
      <w:r>
        <w:rPr>
          <w:rFonts w:ascii="宋体" w:hAnsi="宋体"/>
          <w:color w:val="000000"/>
        </w:rPr>
        <w:t>不携带该致病基因，则Ⅱ</w:t>
      </w:r>
      <w:r>
        <w:rPr>
          <w:rFonts w:eastAsia="Times New Roman" w:cs="Times New Roman"/>
          <w:color w:val="000000"/>
        </w:rPr>
        <w:t>-2</w:t>
      </w:r>
      <w:r>
        <w:rPr>
          <w:rFonts w:ascii="宋体" w:hAnsi="宋体"/>
          <w:color w:val="000000"/>
        </w:rPr>
        <w:t>一定为杂合子</w:t>
      </w:r>
    </w:p>
    <w:p w14:paraId="255E2B85" w14:textId="77777777" w:rsidR="006A50FF" w:rsidRDefault="00000000">
      <w:pPr>
        <w:spacing w:line="360" w:lineRule="auto"/>
        <w:jc w:val="left"/>
        <w:textAlignment w:val="center"/>
        <w:rPr>
          <w:color w:val="000000"/>
        </w:rPr>
      </w:pPr>
      <w:r>
        <w:rPr>
          <w:color w:val="000000"/>
        </w:rPr>
        <w:t xml:space="preserve">C. </w:t>
      </w:r>
      <w:r>
        <w:rPr>
          <w:rFonts w:ascii="宋体" w:hAnsi="宋体"/>
          <w:color w:val="000000"/>
        </w:rPr>
        <w:t>若Ⅲ</w:t>
      </w:r>
      <w:r>
        <w:rPr>
          <w:rFonts w:eastAsia="Times New Roman" w:cs="Times New Roman"/>
          <w:color w:val="000000"/>
        </w:rPr>
        <w:t>-5</w:t>
      </w:r>
      <w:r>
        <w:rPr>
          <w:rFonts w:ascii="宋体" w:hAnsi="宋体"/>
          <w:color w:val="000000"/>
        </w:rPr>
        <w:t>正常，则Ⅱ</w:t>
      </w:r>
      <w:r>
        <w:rPr>
          <w:rFonts w:eastAsia="Times New Roman" w:cs="Times New Roman"/>
          <w:color w:val="000000"/>
        </w:rPr>
        <w:t>-2</w:t>
      </w:r>
      <w:r>
        <w:rPr>
          <w:rFonts w:ascii="宋体" w:hAnsi="宋体"/>
          <w:color w:val="000000"/>
        </w:rPr>
        <w:t>一定患病</w:t>
      </w:r>
    </w:p>
    <w:p w14:paraId="28B85D91" w14:textId="77777777" w:rsidR="006A50FF" w:rsidRDefault="00000000">
      <w:pPr>
        <w:spacing w:line="360" w:lineRule="auto"/>
        <w:jc w:val="left"/>
        <w:textAlignment w:val="center"/>
        <w:rPr>
          <w:color w:val="000000"/>
        </w:rPr>
      </w:pPr>
      <w:r>
        <w:rPr>
          <w:color w:val="000000"/>
        </w:rPr>
        <w:t xml:space="preserve">D. </w:t>
      </w:r>
      <w:r>
        <w:rPr>
          <w:rFonts w:ascii="宋体" w:hAnsi="宋体"/>
          <w:color w:val="000000"/>
        </w:rPr>
        <w:t>若Ⅱ</w:t>
      </w:r>
      <w:r>
        <w:rPr>
          <w:rFonts w:eastAsia="Times New Roman" w:cs="Times New Roman"/>
          <w:color w:val="000000"/>
        </w:rPr>
        <w:t>-2</w:t>
      </w:r>
      <w:r>
        <w:rPr>
          <w:rFonts w:ascii="宋体" w:hAnsi="宋体"/>
          <w:color w:val="000000"/>
        </w:rPr>
        <w:t>正常，则据Ⅲ</w:t>
      </w:r>
      <w:r>
        <w:rPr>
          <w:rFonts w:eastAsia="Times New Roman" w:cs="Times New Roman"/>
          <w:color w:val="000000"/>
        </w:rPr>
        <w:t>-2</w:t>
      </w:r>
      <w:r>
        <w:rPr>
          <w:rFonts w:ascii="宋体" w:hAnsi="宋体"/>
          <w:color w:val="000000"/>
        </w:rPr>
        <w:t>是否患病可确定该病遗传方式</w:t>
      </w:r>
    </w:p>
    <w:p w14:paraId="43EA4BC2" w14:textId="77777777" w:rsidR="006A50FF" w:rsidRDefault="00000000">
      <w:pPr>
        <w:spacing w:line="360" w:lineRule="auto"/>
        <w:jc w:val="left"/>
        <w:textAlignment w:val="center"/>
        <w:rPr>
          <w:color w:val="000000"/>
        </w:rPr>
      </w:pPr>
      <w:r>
        <w:rPr>
          <w:color w:val="000000"/>
        </w:rPr>
        <w:t xml:space="preserve">9. </w:t>
      </w:r>
      <w:r>
        <w:rPr>
          <w:rFonts w:ascii="宋体" w:hAnsi="宋体"/>
          <w:color w:val="000000"/>
        </w:rPr>
        <w:t>机体存在血浆</w:t>
      </w:r>
      <w:r>
        <w:rPr>
          <w:rFonts w:eastAsia="Times New Roman" w:cs="Times New Roman"/>
          <w:color w:val="000000"/>
        </w:rPr>
        <w:t>K</w:t>
      </w:r>
      <w:r>
        <w:rPr>
          <w:rFonts w:eastAsia="Times New Roman" w:cs="Times New Roman"/>
          <w:color w:val="000000"/>
          <w:vertAlign w:val="superscript"/>
        </w:rPr>
        <w:t>+</w:t>
      </w:r>
      <w:r>
        <w:rPr>
          <w:rFonts w:ascii="宋体" w:hAnsi="宋体"/>
          <w:color w:val="000000"/>
        </w:rPr>
        <w:t>浓度调节机制，</w:t>
      </w:r>
      <w:r>
        <w:rPr>
          <w:rFonts w:eastAsia="Times New Roman" w:cs="Times New Roman"/>
          <w:color w:val="000000"/>
        </w:rPr>
        <w:t>K</w:t>
      </w:r>
      <w:r>
        <w:rPr>
          <w:rFonts w:eastAsia="Times New Roman" w:cs="Times New Roman"/>
          <w:color w:val="000000"/>
          <w:vertAlign w:val="superscript"/>
        </w:rPr>
        <w:t>+</w:t>
      </w:r>
      <w:r>
        <w:rPr>
          <w:rFonts w:ascii="宋体" w:hAnsi="宋体"/>
          <w:color w:val="000000"/>
        </w:rPr>
        <w:t>浓度升高可直接刺激胰岛素的分泌，从而促进细胞摄入</w:t>
      </w:r>
      <w:r>
        <w:rPr>
          <w:rFonts w:eastAsia="Times New Roman" w:cs="Times New Roman"/>
          <w:color w:val="000000"/>
        </w:rPr>
        <w:t>K</w:t>
      </w:r>
      <w:r>
        <w:rPr>
          <w:rFonts w:eastAsia="Times New Roman" w:cs="Times New Roman"/>
          <w:color w:val="000000"/>
          <w:vertAlign w:val="superscript"/>
        </w:rPr>
        <w:t>+</w:t>
      </w:r>
      <w:r>
        <w:rPr>
          <w:rFonts w:ascii="宋体" w:hAnsi="宋体"/>
          <w:color w:val="000000"/>
        </w:rPr>
        <w:t>，使血浆</w:t>
      </w:r>
      <w:r>
        <w:rPr>
          <w:rFonts w:eastAsia="Times New Roman" w:cs="Times New Roman"/>
          <w:color w:val="000000"/>
        </w:rPr>
        <w:t>K</w:t>
      </w:r>
      <w:r>
        <w:rPr>
          <w:rFonts w:eastAsia="Times New Roman" w:cs="Times New Roman"/>
          <w:color w:val="000000"/>
          <w:vertAlign w:val="superscript"/>
        </w:rPr>
        <w:t>+</w:t>
      </w:r>
      <w:r>
        <w:rPr>
          <w:rFonts w:ascii="宋体" w:hAnsi="宋体"/>
          <w:color w:val="000000"/>
        </w:rPr>
        <w:t>浓度恢复正常。肾脏排钾功能障碍时，血浆</w:t>
      </w:r>
      <w:r>
        <w:rPr>
          <w:rFonts w:eastAsia="Times New Roman" w:cs="Times New Roman"/>
          <w:color w:val="000000"/>
        </w:rPr>
        <w:t>K</w:t>
      </w:r>
      <w:r>
        <w:rPr>
          <w:rFonts w:eastAsia="Times New Roman" w:cs="Times New Roman"/>
          <w:color w:val="000000"/>
          <w:vertAlign w:val="superscript"/>
        </w:rPr>
        <w:t>+</w:t>
      </w:r>
      <w:r>
        <w:rPr>
          <w:rFonts w:ascii="宋体" w:hAnsi="宋体"/>
          <w:color w:val="000000"/>
        </w:rPr>
        <w:t>浓度异常升高，导致自身胰岛素分泌量最大时依然无法使血浆</w:t>
      </w:r>
      <w:r>
        <w:rPr>
          <w:rFonts w:eastAsia="Times New Roman" w:cs="Times New Roman"/>
          <w:color w:val="000000"/>
        </w:rPr>
        <w:t>K</w:t>
      </w:r>
      <w:r>
        <w:rPr>
          <w:rFonts w:eastAsia="Times New Roman" w:cs="Times New Roman"/>
          <w:color w:val="000000"/>
          <w:vertAlign w:val="superscript"/>
        </w:rPr>
        <w:t>+</w:t>
      </w:r>
      <w:r>
        <w:rPr>
          <w:rFonts w:ascii="宋体" w:hAnsi="宋体"/>
          <w:color w:val="000000"/>
        </w:rPr>
        <w:t>浓度恢复正常，此时胞内摄入</w:t>
      </w:r>
      <w:r>
        <w:rPr>
          <w:rFonts w:eastAsia="Times New Roman" w:cs="Times New Roman"/>
          <w:color w:val="000000"/>
        </w:rPr>
        <w:t>K</w:t>
      </w:r>
      <w:r>
        <w:rPr>
          <w:rFonts w:eastAsia="Times New Roman" w:cs="Times New Roman"/>
          <w:color w:val="000000"/>
          <w:vertAlign w:val="superscript"/>
        </w:rPr>
        <w:t>+</w:t>
      </w:r>
      <w:r>
        <w:rPr>
          <w:rFonts w:ascii="宋体" w:hAnsi="宋体"/>
          <w:color w:val="000000"/>
        </w:rPr>
        <w:t>的量小于胞外</w:t>
      </w:r>
      <w:r>
        <w:rPr>
          <w:rFonts w:eastAsia="Times New Roman" w:cs="Times New Roman"/>
          <w:color w:val="000000"/>
        </w:rPr>
        <w:t>K</w:t>
      </w:r>
      <w:r>
        <w:rPr>
          <w:rFonts w:eastAsia="Times New Roman" w:cs="Times New Roman"/>
          <w:color w:val="000000"/>
          <w:vertAlign w:val="superscript"/>
        </w:rPr>
        <w:t>+</w:t>
      </w:r>
      <w:r>
        <w:rPr>
          <w:rFonts w:ascii="宋体" w:hAnsi="宋体"/>
          <w:color w:val="000000"/>
        </w:rPr>
        <w:t>的增加量，引起高钾血症。已知胞内</w:t>
      </w:r>
      <w:r>
        <w:rPr>
          <w:rFonts w:eastAsia="Times New Roman" w:cs="Times New Roman"/>
          <w:color w:val="000000"/>
        </w:rPr>
        <w:t>K</w:t>
      </w:r>
      <w:r>
        <w:rPr>
          <w:rFonts w:eastAsia="Times New Roman" w:cs="Times New Roman"/>
          <w:color w:val="000000"/>
          <w:vertAlign w:val="superscript"/>
        </w:rPr>
        <w:t>+</w:t>
      </w:r>
      <w:r>
        <w:rPr>
          <w:rFonts w:ascii="宋体" w:hAnsi="宋体"/>
          <w:color w:val="000000"/>
        </w:rPr>
        <w:t>浓度总是高于胞外，下列说法错误的是（　　）</w:t>
      </w:r>
    </w:p>
    <w:p w14:paraId="0E692147" w14:textId="77777777" w:rsidR="006A50FF" w:rsidRDefault="00000000">
      <w:pPr>
        <w:spacing w:line="360" w:lineRule="auto"/>
        <w:jc w:val="left"/>
        <w:textAlignment w:val="center"/>
        <w:rPr>
          <w:color w:val="000000"/>
        </w:rPr>
      </w:pPr>
      <w:r>
        <w:rPr>
          <w:color w:val="000000"/>
        </w:rPr>
        <w:lastRenderedPageBreak/>
        <w:t xml:space="preserve">A. </w:t>
      </w:r>
      <w:r>
        <w:rPr>
          <w:rFonts w:ascii="宋体" w:hAnsi="宋体"/>
          <w:color w:val="000000"/>
        </w:rPr>
        <w:t>高钾血症患者神经细胞静息状态下膜内外电位差增大</w:t>
      </w:r>
    </w:p>
    <w:p w14:paraId="722E656D" w14:textId="77777777" w:rsidR="006A50FF" w:rsidRDefault="00000000">
      <w:pPr>
        <w:spacing w:line="360" w:lineRule="auto"/>
        <w:jc w:val="left"/>
        <w:textAlignment w:val="center"/>
        <w:rPr>
          <w:color w:val="000000"/>
        </w:rPr>
      </w:pPr>
      <w:r>
        <w:rPr>
          <w:color w:val="000000"/>
        </w:rPr>
        <w:t xml:space="preserve">B. </w:t>
      </w:r>
      <w:r>
        <w:rPr>
          <w:rFonts w:ascii="宋体" w:hAnsi="宋体"/>
          <w:color w:val="000000"/>
        </w:rPr>
        <w:t>胰岛</w:t>
      </w:r>
      <w:r>
        <w:rPr>
          <w:rFonts w:eastAsia="Times New Roman" w:cs="Times New Roman"/>
          <w:color w:val="000000"/>
        </w:rPr>
        <w:t>B</w:t>
      </w:r>
      <w:r>
        <w:rPr>
          <w:rFonts w:ascii="宋体" w:hAnsi="宋体"/>
          <w:color w:val="000000"/>
        </w:rPr>
        <w:t>细胞受损可导致血浆</w:t>
      </w:r>
      <w:r>
        <w:rPr>
          <w:rFonts w:eastAsia="Times New Roman" w:cs="Times New Roman"/>
          <w:color w:val="000000"/>
        </w:rPr>
        <w:t>K</w:t>
      </w:r>
      <w:r>
        <w:rPr>
          <w:rFonts w:eastAsia="Times New Roman" w:cs="Times New Roman"/>
          <w:color w:val="000000"/>
          <w:vertAlign w:val="superscript"/>
        </w:rPr>
        <w:t>+</w:t>
      </w:r>
      <w:r>
        <w:rPr>
          <w:rFonts w:ascii="宋体" w:hAnsi="宋体"/>
          <w:color w:val="000000"/>
        </w:rPr>
        <w:t>浓度升高</w:t>
      </w:r>
    </w:p>
    <w:p w14:paraId="78F5EF1F" w14:textId="77777777" w:rsidR="006A50FF" w:rsidRDefault="00000000">
      <w:pPr>
        <w:spacing w:line="360" w:lineRule="auto"/>
        <w:jc w:val="left"/>
        <w:textAlignment w:val="center"/>
        <w:rPr>
          <w:color w:val="000000"/>
        </w:rPr>
      </w:pPr>
      <w:r>
        <w:rPr>
          <w:color w:val="000000"/>
        </w:rPr>
        <w:t xml:space="preserve">C. </w:t>
      </w:r>
      <w:r>
        <w:rPr>
          <w:rFonts w:ascii="宋体" w:hAnsi="宋体"/>
          <w:color w:val="000000"/>
        </w:rPr>
        <w:t>高钾血症患者的心肌细胞对刺激的敏感性改变</w:t>
      </w:r>
    </w:p>
    <w:p w14:paraId="0DE36117" w14:textId="77777777" w:rsidR="006A50FF" w:rsidRDefault="00000000">
      <w:pPr>
        <w:spacing w:line="360" w:lineRule="auto"/>
        <w:jc w:val="left"/>
        <w:textAlignment w:val="center"/>
        <w:rPr>
          <w:color w:val="000000"/>
        </w:rPr>
      </w:pPr>
      <w:r>
        <w:rPr>
          <w:color w:val="000000"/>
        </w:rPr>
        <w:t xml:space="preserve">D. </w:t>
      </w:r>
      <w:r>
        <w:rPr>
          <w:rFonts w:ascii="宋体" w:hAnsi="宋体"/>
          <w:color w:val="000000"/>
        </w:rPr>
        <w:t>用胰岛素治疗高钾血症，需同时注射葡萄糖</w:t>
      </w:r>
    </w:p>
    <w:p w14:paraId="67106753" w14:textId="77777777" w:rsidR="006A50FF" w:rsidRDefault="00000000">
      <w:pPr>
        <w:spacing w:line="360" w:lineRule="auto"/>
        <w:jc w:val="left"/>
        <w:textAlignment w:val="center"/>
        <w:rPr>
          <w:color w:val="000000"/>
        </w:rPr>
      </w:pPr>
      <w:r>
        <w:rPr>
          <w:color w:val="000000"/>
        </w:rPr>
        <w:t xml:space="preserve">10. </w:t>
      </w:r>
      <w:r>
        <w:rPr>
          <w:rFonts w:ascii="宋体" w:hAnsi="宋体"/>
          <w:color w:val="000000"/>
        </w:rPr>
        <w:t>拟南芥的基因</w:t>
      </w:r>
      <w:r>
        <w:rPr>
          <w:rFonts w:eastAsia="Times New Roman" w:cs="Times New Roman"/>
          <w:color w:val="000000"/>
        </w:rPr>
        <w:t>S</w:t>
      </w:r>
      <w:r>
        <w:rPr>
          <w:rFonts w:ascii="宋体" w:hAnsi="宋体"/>
          <w:color w:val="000000"/>
        </w:rPr>
        <w:t>与种子萌发有关。对野生型和基因</w:t>
      </w:r>
      <w:r>
        <w:rPr>
          <w:rFonts w:eastAsia="Times New Roman" w:cs="Times New Roman"/>
          <w:color w:val="000000"/>
        </w:rPr>
        <w:t>S</w:t>
      </w:r>
      <w:r>
        <w:rPr>
          <w:rFonts w:ascii="宋体" w:hAnsi="宋体"/>
          <w:color w:val="000000"/>
        </w:rPr>
        <w:t>过表达株系的种子分别进行不同处理，处理方式及种子萌发率（</w:t>
      </w:r>
      <w:r>
        <w:rPr>
          <w:rFonts w:eastAsia="Times New Roman" w:cs="Times New Roman"/>
          <w:color w:val="000000"/>
        </w:rPr>
        <w:t>%</w:t>
      </w:r>
      <w:r>
        <w:rPr>
          <w:rFonts w:ascii="宋体" w:hAnsi="宋体"/>
          <w:color w:val="000000"/>
        </w:rPr>
        <w:t>）如表所示，其中</w:t>
      </w:r>
      <w:r>
        <w:rPr>
          <w:rFonts w:eastAsia="Times New Roman" w:cs="Times New Roman"/>
          <w:color w:val="000000"/>
        </w:rPr>
        <w:t>MS</w:t>
      </w:r>
      <w:r>
        <w:rPr>
          <w:rFonts w:ascii="宋体" w:hAnsi="宋体"/>
          <w:color w:val="000000"/>
        </w:rPr>
        <w:t>为基本培养基，</w:t>
      </w:r>
      <w:r>
        <w:rPr>
          <w:rFonts w:eastAsia="Times New Roman" w:cs="Times New Roman"/>
          <w:color w:val="000000"/>
        </w:rPr>
        <w:t>WT</w:t>
      </w:r>
      <w:r>
        <w:rPr>
          <w:rFonts w:ascii="宋体" w:hAnsi="宋体"/>
          <w:color w:val="000000"/>
        </w:rPr>
        <w:t>为野生型，</w:t>
      </w:r>
      <w:r>
        <w:rPr>
          <w:rFonts w:eastAsia="Times New Roman" w:cs="Times New Roman"/>
          <w:color w:val="000000"/>
        </w:rPr>
        <w:t>OX</w:t>
      </w:r>
      <w:r>
        <w:rPr>
          <w:rFonts w:ascii="宋体" w:hAnsi="宋体"/>
          <w:color w:val="000000"/>
        </w:rPr>
        <w:t>为基因</w:t>
      </w:r>
      <w:r>
        <w:rPr>
          <w:rFonts w:eastAsia="Times New Roman" w:cs="Times New Roman"/>
          <w:color w:val="000000"/>
        </w:rPr>
        <w:t>S</w:t>
      </w:r>
      <w:r>
        <w:rPr>
          <w:rFonts w:ascii="宋体" w:hAnsi="宋体"/>
          <w:color w:val="000000"/>
        </w:rPr>
        <w:t>过表达株系，</w:t>
      </w:r>
      <w:r>
        <w:rPr>
          <w:rFonts w:eastAsia="Times New Roman" w:cs="Times New Roman"/>
          <w:color w:val="000000"/>
        </w:rPr>
        <w:t>PAC</w:t>
      </w:r>
      <w:r>
        <w:rPr>
          <w:rFonts w:ascii="宋体" w:hAnsi="宋体"/>
          <w:color w:val="000000"/>
        </w:rPr>
        <w:t>为赤霉素合成抑制剂。下列说法错误的是（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firstRow="1" w:lastRow="0" w:firstColumn="1" w:lastColumn="0" w:noHBand="0" w:noVBand="1"/>
      </w:tblPr>
      <w:tblGrid>
        <w:gridCol w:w="1080"/>
        <w:gridCol w:w="567"/>
        <w:gridCol w:w="544"/>
        <w:gridCol w:w="659"/>
        <w:gridCol w:w="633"/>
        <w:gridCol w:w="567"/>
        <w:gridCol w:w="544"/>
        <w:gridCol w:w="918"/>
        <w:gridCol w:w="882"/>
      </w:tblGrid>
      <w:tr w:rsidR="006A50FF" w14:paraId="7D8C1883" w14:textId="77777777">
        <w:trPr>
          <w:trHeight w:val="270"/>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B58CF4A" w14:textId="77777777" w:rsidR="006A50FF" w:rsidRDefault="006A50FF">
            <w:pPr>
              <w:spacing w:line="360" w:lineRule="auto"/>
              <w:jc w:val="center"/>
              <w:textAlignment w:val="center"/>
              <w:rPr>
                <w:color w:val="000000"/>
              </w:rPr>
            </w:pPr>
          </w:p>
        </w:tc>
        <w:tc>
          <w:tcPr>
            <w:tcW w:w="0" w:type="auto"/>
            <w:gridSpan w:val="2"/>
            <w:tcBorders>
              <w:top w:val="single" w:sz="6" w:space="0" w:color="000000"/>
              <w:left w:val="nil"/>
              <w:bottom w:val="single" w:sz="6" w:space="0" w:color="000000"/>
              <w:right w:val="single" w:sz="6" w:space="0" w:color="000000"/>
            </w:tcBorders>
            <w:tcMar>
              <w:top w:w="75" w:type="dxa"/>
              <w:bottom w:w="75" w:type="dxa"/>
            </w:tcMar>
            <w:vAlign w:val="center"/>
          </w:tcPr>
          <w:p w14:paraId="1915388E" w14:textId="77777777" w:rsidR="006A50FF" w:rsidRDefault="00000000">
            <w:pPr>
              <w:spacing w:line="360" w:lineRule="auto"/>
              <w:jc w:val="center"/>
              <w:textAlignment w:val="center"/>
              <w:rPr>
                <w:color w:val="000000"/>
              </w:rPr>
            </w:pPr>
            <w:r>
              <w:rPr>
                <w:rFonts w:eastAsia="Times New Roman" w:cs="Times New Roman"/>
                <w:color w:val="000000"/>
              </w:rPr>
              <w:t>MS</w:t>
            </w:r>
          </w:p>
        </w:tc>
        <w:tc>
          <w:tcPr>
            <w:tcW w:w="0" w:type="auto"/>
            <w:gridSpan w:val="2"/>
            <w:tcBorders>
              <w:top w:val="single" w:sz="6" w:space="0" w:color="000000"/>
              <w:left w:val="nil"/>
              <w:bottom w:val="single" w:sz="6" w:space="0" w:color="000000"/>
              <w:right w:val="single" w:sz="6" w:space="0" w:color="000000"/>
            </w:tcBorders>
            <w:tcMar>
              <w:top w:w="75" w:type="dxa"/>
              <w:bottom w:w="75" w:type="dxa"/>
            </w:tcMar>
            <w:vAlign w:val="center"/>
          </w:tcPr>
          <w:p w14:paraId="5E275E00" w14:textId="77777777" w:rsidR="006A50FF" w:rsidRDefault="00000000">
            <w:pPr>
              <w:spacing w:line="360" w:lineRule="auto"/>
              <w:jc w:val="center"/>
              <w:textAlignment w:val="center"/>
              <w:rPr>
                <w:color w:val="000000"/>
              </w:rPr>
            </w:pPr>
            <w:r>
              <w:rPr>
                <w:rFonts w:eastAsia="Times New Roman" w:cs="Times New Roman"/>
                <w:color w:val="000000"/>
              </w:rPr>
              <w:t>MS+</w:t>
            </w:r>
            <w:r>
              <w:rPr>
                <w:rFonts w:ascii="宋体" w:hAnsi="宋体"/>
                <w:color w:val="000000"/>
              </w:rPr>
              <w:t>脱落酸</w:t>
            </w:r>
          </w:p>
        </w:tc>
        <w:tc>
          <w:tcPr>
            <w:tcW w:w="0" w:type="auto"/>
            <w:gridSpan w:val="2"/>
            <w:tcBorders>
              <w:top w:val="single" w:sz="6" w:space="0" w:color="000000"/>
              <w:left w:val="nil"/>
              <w:bottom w:val="single" w:sz="6" w:space="0" w:color="000000"/>
              <w:right w:val="single" w:sz="6" w:space="0" w:color="000000"/>
            </w:tcBorders>
            <w:tcMar>
              <w:top w:w="75" w:type="dxa"/>
              <w:bottom w:w="75" w:type="dxa"/>
            </w:tcMar>
            <w:vAlign w:val="center"/>
          </w:tcPr>
          <w:p w14:paraId="274E0B9B" w14:textId="77777777" w:rsidR="006A50FF" w:rsidRDefault="00000000">
            <w:pPr>
              <w:spacing w:line="360" w:lineRule="auto"/>
              <w:jc w:val="center"/>
              <w:textAlignment w:val="center"/>
              <w:rPr>
                <w:color w:val="000000"/>
              </w:rPr>
            </w:pPr>
            <w:r>
              <w:rPr>
                <w:rFonts w:eastAsia="Times New Roman" w:cs="Times New Roman"/>
                <w:color w:val="000000"/>
              </w:rPr>
              <w:t>MS+PAC</w:t>
            </w:r>
          </w:p>
        </w:tc>
        <w:tc>
          <w:tcPr>
            <w:tcW w:w="0" w:type="auto"/>
            <w:gridSpan w:val="2"/>
            <w:tcBorders>
              <w:top w:val="single" w:sz="6" w:space="0" w:color="000000"/>
              <w:left w:val="nil"/>
              <w:bottom w:val="single" w:sz="6" w:space="0" w:color="000000"/>
              <w:right w:val="single" w:sz="6" w:space="0" w:color="000000"/>
            </w:tcBorders>
            <w:tcMar>
              <w:top w:w="75" w:type="dxa"/>
              <w:bottom w:w="75" w:type="dxa"/>
            </w:tcMar>
            <w:vAlign w:val="center"/>
          </w:tcPr>
          <w:p w14:paraId="781FF878" w14:textId="77777777" w:rsidR="006A50FF" w:rsidRDefault="00000000">
            <w:pPr>
              <w:spacing w:line="360" w:lineRule="auto"/>
              <w:jc w:val="center"/>
              <w:textAlignment w:val="center"/>
              <w:rPr>
                <w:color w:val="000000"/>
              </w:rPr>
            </w:pPr>
            <w:r>
              <w:rPr>
                <w:rFonts w:eastAsia="Times New Roman" w:cs="Times New Roman"/>
                <w:color w:val="000000"/>
              </w:rPr>
              <w:t>MS+PAC+</w:t>
            </w:r>
            <w:r>
              <w:rPr>
                <w:rFonts w:ascii="宋体" w:hAnsi="宋体"/>
                <w:color w:val="000000"/>
              </w:rPr>
              <w:t>赤霉素</w:t>
            </w:r>
          </w:p>
        </w:tc>
      </w:tr>
      <w:tr w:rsidR="006A50FF" w14:paraId="069BE311" w14:textId="77777777">
        <w:trPr>
          <w:trHeight w:val="270"/>
          <w:jc w:val="center"/>
        </w:trPr>
        <w:tc>
          <w:tcPr>
            <w:tcW w:w="0" w:type="auto"/>
            <w:tcBorders>
              <w:top w:val="nil"/>
              <w:left w:val="single" w:sz="6" w:space="0" w:color="000000"/>
              <w:bottom w:val="single" w:sz="6" w:space="0" w:color="000000"/>
              <w:right w:val="single" w:sz="6" w:space="0" w:color="000000"/>
            </w:tcBorders>
            <w:tcMar>
              <w:top w:w="75" w:type="dxa"/>
              <w:bottom w:w="75" w:type="dxa"/>
            </w:tcMar>
            <w:vAlign w:val="center"/>
          </w:tcPr>
          <w:p w14:paraId="029562CA" w14:textId="77777777" w:rsidR="006A50FF" w:rsidRDefault="00000000">
            <w:pPr>
              <w:spacing w:line="360" w:lineRule="auto"/>
              <w:jc w:val="center"/>
              <w:textAlignment w:val="center"/>
              <w:rPr>
                <w:color w:val="000000"/>
              </w:rPr>
            </w:pPr>
            <w:r>
              <w:rPr>
                <w:rFonts w:ascii="宋体" w:hAnsi="宋体"/>
                <w:color w:val="000000"/>
              </w:rPr>
              <w:t>培养时间</w:t>
            </w:r>
          </w:p>
        </w:tc>
        <w:tc>
          <w:tcPr>
            <w:tcW w:w="0" w:type="auto"/>
            <w:tcBorders>
              <w:top w:val="nil"/>
              <w:left w:val="nil"/>
              <w:bottom w:val="single" w:sz="6" w:space="0" w:color="000000"/>
              <w:right w:val="single" w:sz="6" w:space="0" w:color="000000"/>
            </w:tcBorders>
            <w:tcMar>
              <w:top w:w="75" w:type="dxa"/>
              <w:bottom w:w="75" w:type="dxa"/>
            </w:tcMar>
            <w:vAlign w:val="center"/>
          </w:tcPr>
          <w:p w14:paraId="37FB82F9" w14:textId="77777777" w:rsidR="006A50FF" w:rsidRDefault="00000000">
            <w:pPr>
              <w:spacing w:line="360" w:lineRule="auto"/>
              <w:jc w:val="center"/>
              <w:textAlignment w:val="center"/>
              <w:rPr>
                <w:color w:val="000000"/>
              </w:rPr>
            </w:pPr>
            <w:r>
              <w:rPr>
                <w:rFonts w:eastAsia="Times New Roman" w:cs="Times New Roman"/>
                <w:color w:val="000000"/>
              </w:rPr>
              <w:t>WT</w:t>
            </w:r>
          </w:p>
        </w:tc>
        <w:tc>
          <w:tcPr>
            <w:tcW w:w="0" w:type="auto"/>
            <w:tcBorders>
              <w:top w:val="nil"/>
              <w:left w:val="nil"/>
              <w:bottom w:val="single" w:sz="6" w:space="0" w:color="000000"/>
              <w:right w:val="single" w:sz="6" w:space="0" w:color="000000"/>
            </w:tcBorders>
            <w:tcMar>
              <w:top w:w="75" w:type="dxa"/>
              <w:bottom w:w="75" w:type="dxa"/>
            </w:tcMar>
            <w:vAlign w:val="center"/>
          </w:tcPr>
          <w:p w14:paraId="46DC6F03" w14:textId="77777777" w:rsidR="006A50FF" w:rsidRDefault="00000000">
            <w:pPr>
              <w:spacing w:line="360" w:lineRule="auto"/>
              <w:jc w:val="center"/>
              <w:textAlignment w:val="center"/>
              <w:rPr>
                <w:color w:val="000000"/>
              </w:rPr>
            </w:pPr>
            <w:r>
              <w:rPr>
                <w:rFonts w:eastAsia="Times New Roman" w:cs="Times New Roman"/>
                <w:color w:val="000000"/>
              </w:rPr>
              <w:t>OX</w:t>
            </w:r>
          </w:p>
        </w:tc>
        <w:tc>
          <w:tcPr>
            <w:tcW w:w="0" w:type="auto"/>
            <w:tcBorders>
              <w:top w:val="nil"/>
              <w:left w:val="nil"/>
              <w:bottom w:val="single" w:sz="6" w:space="0" w:color="000000"/>
              <w:right w:val="single" w:sz="6" w:space="0" w:color="000000"/>
            </w:tcBorders>
            <w:tcMar>
              <w:top w:w="75" w:type="dxa"/>
              <w:bottom w:w="75" w:type="dxa"/>
            </w:tcMar>
            <w:vAlign w:val="center"/>
          </w:tcPr>
          <w:p w14:paraId="119BADCB" w14:textId="77777777" w:rsidR="006A50FF" w:rsidRDefault="00000000">
            <w:pPr>
              <w:spacing w:line="360" w:lineRule="auto"/>
              <w:jc w:val="center"/>
              <w:textAlignment w:val="center"/>
              <w:rPr>
                <w:color w:val="000000"/>
              </w:rPr>
            </w:pPr>
            <w:r>
              <w:rPr>
                <w:rFonts w:eastAsia="Times New Roman" w:cs="Times New Roman"/>
                <w:color w:val="000000"/>
              </w:rPr>
              <w:t>WT</w:t>
            </w:r>
          </w:p>
        </w:tc>
        <w:tc>
          <w:tcPr>
            <w:tcW w:w="0" w:type="auto"/>
            <w:tcBorders>
              <w:top w:val="nil"/>
              <w:left w:val="nil"/>
              <w:bottom w:val="single" w:sz="6" w:space="0" w:color="000000"/>
              <w:right w:val="single" w:sz="6" w:space="0" w:color="000000"/>
            </w:tcBorders>
            <w:tcMar>
              <w:top w:w="75" w:type="dxa"/>
              <w:bottom w:w="75" w:type="dxa"/>
            </w:tcMar>
            <w:vAlign w:val="center"/>
          </w:tcPr>
          <w:p w14:paraId="1C670736" w14:textId="77777777" w:rsidR="006A50FF" w:rsidRDefault="00000000">
            <w:pPr>
              <w:spacing w:line="360" w:lineRule="auto"/>
              <w:jc w:val="center"/>
              <w:textAlignment w:val="center"/>
              <w:rPr>
                <w:color w:val="000000"/>
              </w:rPr>
            </w:pPr>
            <w:r>
              <w:rPr>
                <w:rFonts w:eastAsia="Times New Roman" w:cs="Times New Roman"/>
                <w:color w:val="000000"/>
              </w:rPr>
              <w:t>OX</w:t>
            </w:r>
          </w:p>
        </w:tc>
        <w:tc>
          <w:tcPr>
            <w:tcW w:w="0" w:type="auto"/>
            <w:tcBorders>
              <w:top w:val="nil"/>
              <w:left w:val="nil"/>
              <w:bottom w:val="single" w:sz="6" w:space="0" w:color="000000"/>
              <w:right w:val="single" w:sz="6" w:space="0" w:color="000000"/>
            </w:tcBorders>
            <w:tcMar>
              <w:top w:w="75" w:type="dxa"/>
              <w:bottom w:w="75" w:type="dxa"/>
            </w:tcMar>
            <w:vAlign w:val="center"/>
          </w:tcPr>
          <w:p w14:paraId="378C5A84" w14:textId="77777777" w:rsidR="006A50FF" w:rsidRDefault="00000000">
            <w:pPr>
              <w:spacing w:line="360" w:lineRule="auto"/>
              <w:jc w:val="center"/>
              <w:textAlignment w:val="center"/>
              <w:rPr>
                <w:color w:val="000000"/>
              </w:rPr>
            </w:pPr>
            <w:r>
              <w:rPr>
                <w:rFonts w:eastAsia="Times New Roman" w:cs="Times New Roman"/>
                <w:color w:val="000000"/>
              </w:rPr>
              <w:t>WT</w:t>
            </w:r>
          </w:p>
        </w:tc>
        <w:tc>
          <w:tcPr>
            <w:tcW w:w="0" w:type="auto"/>
            <w:tcBorders>
              <w:top w:val="nil"/>
              <w:left w:val="nil"/>
              <w:bottom w:val="single" w:sz="6" w:space="0" w:color="000000"/>
              <w:right w:val="single" w:sz="6" w:space="0" w:color="000000"/>
            </w:tcBorders>
            <w:tcMar>
              <w:top w:w="75" w:type="dxa"/>
              <w:bottom w:w="75" w:type="dxa"/>
            </w:tcMar>
            <w:vAlign w:val="center"/>
          </w:tcPr>
          <w:p w14:paraId="1E7940C3" w14:textId="77777777" w:rsidR="006A50FF" w:rsidRDefault="00000000">
            <w:pPr>
              <w:spacing w:line="360" w:lineRule="auto"/>
              <w:jc w:val="center"/>
              <w:textAlignment w:val="center"/>
              <w:rPr>
                <w:color w:val="000000"/>
              </w:rPr>
            </w:pPr>
            <w:r>
              <w:rPr>
                <w:rFonts w:eastAsia="Times New Roman" w:cs="Times New Roman"/>
                <w:color w:val="000000"/>
              </w:rPr>
              <w:t>OX</w:t>
            </w:r>
          </w:p>
        </w:tc>
        <w:tc>
          <w:tcPr>
            <w:tcW w:w="0" w:type="auto"/>
            <w:tcBorders>
              <w:top w:val="nil"/>
              <w:left w:val="nil"/>
              <w:bottom w:val="single" w:sz="6" w:space="0" w:color="000000"/>
              <w:right w:val="single" w:sz="6" w:space="0" w:color="000000"/>
            </w:tcBorders>
            <w:tcMar>
              <w:top w:w="75" w:type="dxa"/>
              <w:bottom w:w="75" w:type="dxa"/>
            </w:tcMar>
            <w:vAlign w:val="center"/>
          </w:tcPr>
          <w:p w14:paraId="2CB64545" w14:textId="77777777" w:rsidR="006A50FF" w:rsidRDefault="00000000">
            <w:pPr>
              <w:spacing w:line="360" w:lineRule="auto"/>
              <w:jc w:val="center"/>
              <w:textAlignment w:val="center"/>
              <w:rPr>
                <w:color w:val="000000"/>
              </w:rPr>
            </w:pPr>
            <w:r>
              <w:rPr>
                <w:rFonts w:eastAsia="Times New Roman" w:cs="Times New Roman"/>
                <w:color w:val="000000"/>
              </w:rPr>
              <w:t>WT</w:t>
            </w:r>
          </w:p>
        </w:tc>
        <w:tc>
          <w:tcPr>
            <w:tcW w:w="0" w:type="auto"/>
            <w:tcBorders>
              <w:top w:val="nil"/>
              <w:left w:val="nil"/>
              <w:bottom w:val="single" w:sz="6" w:space="0" w:color="000000"/>
              <w:right w:val="single" w:sz="6" w:space="0" w:color="000000"/>
            </w:tcBorders>
            <w:tcMar>
              <w:top w:w="75" w:type="dxa"/>
              <w:bottom w:w="75" w:type="dxa"/>
            </w:tcMar>
            <w:vAlign w:val="center"/>
          </w:tcPr>
          <w:p w14:paraId="678C2608" w14:textId="77777777" w:rsidR="006A50FF" w:rsidRDefault="00000000">
            <w:pPr>
              <w:spacing w:line="360" w:lineRule="auto"/>
              <w:jc w:val="center"/>
              <w:textAlignment w:val="center"/>
              <w:rPr>
                <w:color w:val="000000"/>
              </w:rPr>
            </w:pPr>
            <w:r>
              <w:rPr>
                <w:rFonts w:eastAsia="Times New Roman" w:cs="Times New Roman"/>
                <w:color w:val="000000"/>
              </w:rPr>
              <w:t>OX</w:t>
            </w:r>
          </w:p>
        </w:tc>
      </w:tr>
      <w:tr w:rsidR="006A50FF" w14:paraId="0C18D604" w14:textId="77777777">
        <w:trPr>
          <w:trHeight w:val="270"/>
          <w:jc w:val="center"/>
        </w:trPr>
        <w:tc>
          <w:tcPr>
            <w:tcW w:w="0" w:type="auto"/>
            <w:tcBorders>
              <w:top w:val="nil"/>
              <w:left w:val="single" w:sz="6" w:space="0" w:color="000000"/>
              <w:bottom w:val="single" w:sz="6" w:space="0" w:color="000000"/>
              <w:right w:val="single" w:sz="6" w:space="0" w:color="000000"/>
            </w:tcBorders>
            <w:tcMar>
              <w:top w:w="75" w:type="dxa"/>
              <w:bottom w:w="75" w:type="dxa"/>
            </w:tcMar>
            <w:vAlign w:val="center"/>
          </w:tcPr>
          <w:p w14:paraId="2562B4B5" w14:textId="77777777" w:rsidR="006A50FF" w:rsidRDefault="00000000">
            <w:pPr>
              <w:spacing w:line="360" w:lineRule="auto"/>
              <w:jc w:val="center"/>
              <w:textAlignment w:val="center"/>
              <w:rPr>
                <w:color w:val="000000"/>
              </w:rPr>
            </w:pPr>
            <w:r>
              <w:rPr>
                <w:rFonts w:eastAsia="Times New Roman" w:cs="Times New Roman"/>
                <w:color w:val="000000"/>
              </w:rPr>
              <w:t>24</w:t>
            </w:r>
            <w:r>
              <w:rPr>
                <w:rFonts w:ascii="宋体" w:hAnsi="宋体"/>
                <w:color w:val="000000"/>
              </w:rPr>
              <w:t>小时</w:t>
            </w:r>
          </w:p>
        </w:tc>
        <w:tc>
          <w:tcPr>
            <w:tcW w:w="0" w:type="auto"/>
            <w:tcBorders>
              <w:top w:val="nil"/>
              <w:left w:val="nil"/>
              <w:bottom w:val="single" w:sz="6" w:space="0" w:color="000000"/>
              <w:right w:val="single" w:sz="6" w:space="0" w:color="000000"/>
            </w:tcBorders>
            <w:tcMar>
              <w:top w:w="75" w:type="dxa"/>
              <w:bottom w:w="75" w:type="dxa"/>
            </w:tcMar>
            <w:vAlign w:val="center"/>
          </w:tcPr>
          <w:p w14:paraId="56BB39B4" w14:textId="77777777" w:rsidR="006A50FF" w:rsidRDefault="00000000">
            <w:pPr>
              <w:spacing w:line="360" w:lineRule="auto"/>
              <w:jc w:val="center"/>
              <w:textAlignment w:val="center"/>
              <w:rPr>
                <w:color w:val="000000"/>
              </w:rPr>
            </w:pPr>
            <w:r>
              <w:rPr>
                <w:rFonts w:eastAsia="Times New Roman" w:cs="Times New Roman"/>
                <w:color w:val="000000"/>
              </w:rPr>
              <w:t>0</w:t>
            </w:r>
          </w:p>
        </w:tc>
        <w:tc>
          <w:tcPr>
            <w:tcW w:w="0" w:type="auto"/>
            <w:tcBorders>
              <w:top w:val="nil"/>
              <w:left w:val="nil"/>
              <w:bottom w:val="single" w:sz="6" w:space="0" w:color="000000"/>
              <w:right w:val="single" w:sz="6" w:space="0" w:color="000000"/>
            </w:tcBorders>
            <w:tcMar>
              <w:top w:w="75" w:type="dxa"/>
              <w:bottom w:w="75" w:type="dxa"/>
            </w:tcMar>
            <w:vAlign w:val="center"/>
          </w:tcPr>
          <w:p w14:paraId="67A17FD6" w14:textId="77777777" w:rsidR="006A50FF" w:rsidRDefault="00000000">
            <w:pPr>
              <w:spacing w:line="360" w:lineRule="auto"/>
              <w:jc w:val="center"/>
              <w:textAlignment w:val="center"/>
              <w:rPr>
                <w:color w:val="000000"/>
              </w:rPr>
            </w:pPr>
            <w:r>
              <w:rPr>
                <w:rFonts w:eastAsia="Times New Roman" w:cs="Times New Roman"/>
                <w:color w:val="000000"/>
              </w:rPr>
              <w:t>80</w:t>
            </w:r>
          </w:p>
        </w:tc>
        <w:tc>
          <w:tcPr>
            <w:tcW w:w="0" w:type="auto"/>
            <w:tcBorders>
              <w:top w:val="nil"/>
              <w:left w:val="nil"/>
              <w:bottom w:val="single" w:sz="6" w:space="0" w:color="000000"/>
              <w:right w:val="single" w:sz="6" w:space="0" w:color="000000"/>
            </w:tcBorders>
            <w:tcMar>
              <w:top w:w="75" w:type="dxa"/>
              <w:bottom w:w="75" w:type="dxa"/>
            </w:tcMar>
            <w:vAlign w:val="center"/>
          </w:tcPr>
          <w:p w14:paraId="39B21F97" w14:textId="77777777" w:rsidR="006A50FF" w:rsidRDefault="00000000">
            <w:pPr>
              <w:spacing w:line="360" w:lineRule="auto"/>
              <w:jc w:val="center"/>
              <w:textAlignment w:val="center"/>
              <w:rPr>
                <w:color w:val="000000"/>
              </w:rPr>
            </w:pPr>
            <w:r>
              <w:rPr>
                <w:rFonts w:eastAsia="Times New Roman" w:cs="Times New Roman"/>
                <w:color w:val="000000"/>
              </w:rPr>
              <w:t>0</w:t>
            </w:r>
          </w:p>
        </w:tc>
        <w:tc>
          <w:tcPr>
            <w:tcW w:w="0" w:type="auto"/>
            <w:tcBorders>
              <w:top w:val="nil"/>
              <w:left w:val="nil"/>
              <w:bottom w:val="single" w:sz="6" w:space="0" w:color="000000"/>
              <w:right w:val="single" w:sz="6" w:space="0" w:color="000000"/>
            </w:tcBorders>
            <w:tcMar>
              <w:top w:w="75" w:type="dxa"/>
              <w:bottom w:w="75" w:type="dxa"/>
            </w:tcMar>
            <w:vAlign w:val="center"/>
          </w:tcPr>
          <w:p w14:paraId="0172BE73" w14:textId="77777777" w:rsidR="006A50FF" w:rsidRDefault="00000000">
            <w:pPr>
              <w:spacing w:line="360" w:lineRule="auto"/>
              <w:jc w:val="center"/>
              <w:textAlignment w:val="center"/>
              <w:rPr>
                <w:color w:val="000000"/>
              </w:rPr>
            </w:pPr>
            <w:r>
              <w:rPr>
                <w:rFonts w:eastAsia="Times New Roman" w:cs="Times New Roman"/>
                <w:color w:val="000000"/>
              </w:rPr>
              <w:t>36</w:t>
            </w:r>
          </w:p>
        </w:tc>
        <w:tc>
          <w:tcPr>
            <w:tcW w:w="0" w:type="auto"/>
            <w:tcBorders>
              <w:top w:val="nil"/>
              <w:left w:val="nil"/>
              <w:bottom w:val="single" w:sz="6" w:space="0" w:color="000000"/>
              <w:right w:val="single" w:sz="6" w:space="0" w:color="000000"/>
            </w:tcBorders>
            <w:tcMar>
              <w:top w:w="75" w:type="dxa"/>
              <w:bottom w:w="75" w:type="dxa"/>
            </w:tcMar>
            <w:vAlign w:val="center"/>
          </w:tcPr>
          <w:p w14:paraId="2A00E60B" w14:textId="77777777" w:rsidR="006A50FF" w:rsidRDefault="00000000">
            <w:pPr>
              <w:spacing w:line="360" w:lineRule="auto"/>
              <w:jc w:val="center"/>
              <w:textAlignment w:val="center"/>
              <w:rPr>
                <w:color w:val="000000"/>
              </w:rPr>
            </w:pPr>
            <w:r>
              <w:rPr>
                <w:rFonts w:eastAsia="Times New Roman" w:cs="Times New Roman"/>
                <w:color w:val="000000"/>
              </w:rPr>
              <w:t>0</w:t>
            </w:r>
          </w:p>
        </w:tc>
        <w:tc>
          <w:tcPr>
            <w:tcW w:w="0" w:type="auto"/>
            <w:tcBorders>
              <w:top w:val="nil"/>
              <w:left w:val="nil"/>
              <w:bottom w:val="single" w:sz="6" w:space="0" w:color="000000"/>
              <w:right w:val="single" w:sz="6" w:space="0" w:color="000000"/>
            </w:tcBorders>
            <w:tcMar>
              <w:top w:w="75" w:type="dxa"/>
              <w:bottom w:w="75" w:type="dxa"/>
            </w:tcMar>
            <w:vAlign w:val="center"/>
          </w:tcPr>
          <w:p w14:paraId="7F860A89" w14:textId="77777777" w:rsidR="006A50FF" w:rsidRDefault="00000000">
            <w:pPr>
              <w:spacing w:line="360" w:lineRule="auto"/>
              <w:jc w:val="center"/>
              <w:textAlignment w:val="center"/>
              <w:rPr>
                <w:color w:val="000000"/>
              </w:rPr>
            </w:pPr>
            <w:r>
              <w:rPr>
                <w:rFonts w:eastAsia="Times New Roman" w:cs="Times New Roman"/>
                <w:color w:val="000000"/>
              </w:rPr>
              <w:t>0</w:t>
            </w:r>
          </w:p>
        </w:tc>
        <w:tc>
          <w:tcPr>
            <w:tcW w:w="0" w:type="auto"/>
            <w:tcBorders>
              <w:top w:val="nil"/>
              <w:left w:val="nil"/>
              <w:bottom w:val="single" w:sz="6" w:space="0" w:color="000000"/>
              <w:right w:val="single" w:sz="6" w:space="0" w:color="000000"/>
            </w:tcBorders>
            <w:tcMar>
              <w:top w:w="75" w:type="dxa"/>
              <w:bottom w:w="75" w:type="dxa"/>
            </w:tcMar>
            <w:vAlign w:val="center"/>
          </w:tcPr>
          <w:p w14:paraId="544F2D9B" w14:textId="77777777" w:rsidR="006A50FF" w:rsidRDefault="00000000">
            <w:pPr>
              <w:spacing w:line="360" w:lineRule="auto"/>
              <w:jc w:val="center"/>
              <w:textAlignment w:val="center"/>
              <w:rPr>
                <w:color w:val="000000"/>
              </w:rPr>
            </w:pPr>
            <w:r>
              <w:rPr>
                <w:rFonts w:eastAsia="Times New Roman" w:cs="Times New Roman"/>
                <w:color w:val="000000"/>
              </w:rPr>
              <w:t>0</w:t>
            </w:r>
          </w:p>
        </w:tc>
        <w:tc>
          <w:tcPr>
            <w:tcW w:w="0" w:type="auto"/>
            <w:tcBorders>
              <w:top w:val="nil"/>
              <w:left w:val="nil"/>
              <w:bottom w:val="single" w:sz="6" w:space="0" w:color="000000"/>
              <w:right w:val="single" w:sz="6" w:space="0" w:color="000000"/>
            </w:tcBorders>
            <w:tcMar>
              <w:top w:w="75" w:type="dxa"/>
              <w:bottom w:w="75" w:type="dxa"/>
            </w:tcMar>
            <w:vAlign w:val="center"/>
          </w:tcPr>
          <w:p w14:paraId="7C9570E4" w14:textId="77777777" w:rsidR="006A50FF" w:rsidRDefault="00000000">
            <w:pPr>
              <w:spacing w:line="360" w:lineRule="auto"/>
              <w:jc w:val="center"/>
              <w:textAlignment w:val="center"/>
              <w:rPr>
                <w:color w:val="000000"/>
              </w:rPr>
            </w:pPr>
            <w:r>
              <w:rPr>
                <w:rFonts w:eastAsia="Times New Roman" w:cs="Times New Roman"/>
                <w:color w:val="000000"/>
              </w:rPr>
              <w:t>0</w:t>
            </w:r>
          </w:p>
        </w:tc>
      </w:tr>
      <w:tr w:rsidR="006A50FF" w14:paraId="6EC6A9E4" w14:textId="77777777">
        <w:trPr>
          <w:trHeight w:val="270"/>
          <w:jc w:val="center"/>
        </w:trPr>
        <w:tc>
          <w:tcPr>
            <w:tcW w:w="0" w:type="auto"/>
            <w:tcBorders>
              <w:top w:val="nil"/>
              <w:left w:val="single" w:sz="6" w:space="0" w:color="000000"/>
              <w:bottom w:val="single" w:sz="6" w:space="0" w:color="000000"/>
              <w:right w:val="single" w:sz="6" w:space="0" w:color="000000"/>
            </w:tcBorders>
            <w:tcMar>
              <w:top w:w="75" w:type="dxa"/>
              <w:bottom w:w="75" w:type="dxa"/>
            </w:tcMar>
            <w:vAlign w:val="center"/>
          </w:tcPr>
          <w:p w14:paraId="2FD6FC3F" w14:textId="77777777" w:rsidR="006A50FF" w:rsidRDefault="00000000">
            <w:pPr>
              <w:spacing w:line="360" w:lineRule="auto"/>
              <w:jc w:val="center"/>
              <w:textAlignment w:val="center"/>
              <w:rPr>
                <w:color w:val="000000"/>
              </w:rPr>
            </w:pPr>
            <w:r>
              <w:rPr>
                <w:rFonts w:eastAsia="Times New Roman" w:cs="Times New Roman"/>
                <w:color w:val="000000"/>
              </w:rPr>
              <w:t>36</w:t>
            </w:r>
            <w:r>
              <w:rPr>
                <w:rFonts w:ascii="宋体" w:hAnsi="宋体"/>
                <w:color w:val="000000"/>
              </w:rPr>
              <w:t>小时</w:t>
            </w:r>
          </w:p>
        </w:tc>
        <w:tc>
          <w:tcPr>
            <w:tcW w:w="0" w:type="auto"/>
            <w:tcBorders>
              <w:top w:val="nil"/>
              <w:left w:val="nil"/>
              <w:bottom w:val="single" w:sz="6" w:space="0" w:color="000000"/>
              <w:right w:val="single" w:sz="6" w:space="0" w:color="000000"/>
            </w:tcBorders>
            <w:tcMar>
              <w:top w:w="75" w:type="dxa"/>
              <w:bottom w:w="75" w:type="dxa"/>
            </w:tcMar>
            <w:vAlign w:val="center"/>
          </w:tcPr>
          <w:p w14:paraId="6597B77B" w14:textId="77777777" w:rsidR="006A50FF" w:rsidRDefault="00000000">
            <w:pPr>
              <w:spacing w:line="360" w:lineRule="auto"/>
              <w:jc w:val="center"/>
              <w:textAlignment w:val="center"/>
              <w:rPr>
                <w:color w:val="000000"/>
              </w:rPr>
            </w:pPr>
            <w:r>
              <w:rPr>
                <w:rFonts w:eastAsia="Times New Roman" w:cs="Times New Roman"/>
                <w:color w:val="000000"/>
              </w:rPr>
              <w:t>31</w:t>
            </w:r>
          </w:p>
        </w:tc>
        <w:tc>
          <w:tcPr>
            <w:tcW w:w="0" w:type="auto"/>
            <w:tcBorders>
              <w:top w:val="nil"/>
              <w:left w:val="nil"/>
              <w:bottom w:val="single" w:sz="6" w:space="0" w:color="000000"/>
              <w:right w:val="single" w:sz="6" w:space="0" w:color="000000"/>
            </w:tcBorders>
            <w:tcMar>
              <w:top w:w="75" w:type="dxa"/>
              <w:bottom w:w="75" w:type="dxa"/>
            </w:tcMar>
            <w:vAlign w:val="center"/>
          </w:tcPr>
          <w:p w14:paraId="0866C52D" w14:textId="77777777" w:rsidR="006A50FF" w:rsidRDefault="00000000">
            <w:pPr>
              <w:spacing w:line="360" w:lineRule="auto"/>
              <w:jc w:val="center"/>
              <w:textAlignment w:val="center"/>
              <w:rPr>
                <w:color w:val="000000"/>
              </w:rPr>
            </w:pPr>
            <w:r>
              <w:rPr>
                <w:rFonts w:eastAsia="Times New Roman" w:cs="Times New Roman"/>
                <w:color w:val="000000"/>
              </w:rPr>
              <w:t>90</w:t>
            </w:r>
          </w:p>
        </w:tc>
        <w:tc>
          <w:tcPr>
            <w:tcW w:w="0" w:type="auto"/>
            <w:tcBorders>
              <w:top w:val="nil"/>
              <w:left w:val="nil"/>
              <w:bottom w:val="single" w:sz="6" w:space="0" w:color="000000"/>
              <w:right w:val="single" w:sz="6" w:space="0" w:color="000000"/>
            </w:tcBorders>
            <w:tcMar>
              <w:top w:w="75" w:type="dxa"/>
              <w:bottom w:w="75" w:type="dxa"/>
            </w:tcMar>
            <w:vAlign w:val="center"/>
          </w:tcPr>
          <w:p w14:paraId="69A6FA81" w14:textId="77777777" w:rsidR="006A50FF" w:rsidRDefault="00000000">
            <w:pPr>
              <w:spacing w:line="360" w:lineRule="auto"/>
              <w:jc w:val="center"/>
              <w:textAlignment w:val="center"/>
              <w:rPr>
                <w:color w:val="000000"/>
              </w:rPr>
            </w:pPr>
            <w:r>
              <w:rPr>
                <w:rFonts w:eastAsia="Times New Roman" w:cs="Times New Roman"/>
                <w:color w:val="000000"/>
              </w:rPr>
              <w:t>5</w:t>
            </w:r>
          </w:p>
        </w:tc>
        <w:tc>
          <w:tcPr>
            <w:tcW w:w="0" w:type="auto"/>
            <w:tcBorders>
              <w:top w:val="nil"/>
              <w:left w:val="nil"/>
              <w:bottom w:val="single" w:sz="6" w:space="0" w:color="000000"/>
              <w:right w:val="single" w:sz="6" w:space="0" w:color="000000"/>
            </w:tcBorders>
            <w:tcMar>
              <w:top w:w="75" w:type="dxa"/>
              <w:bottom w:w="75" w:type="dxa"/>
            </w:tcMar>
            <w:vAlign w:val="center"/>
          </w:tcPr>
          <w:p w14:paraId="45E518AE" w14:textId="77777777" w:rsidR="006A50FF" w:rsidRDefault="00000000">
            <w:pPr>
              <w:spacing w:line="360" w:lineRule="auto"/>
              <w:jc w:val="center"/>
              <w:textAlignment w:val="center"/>
              <w:rPr>
                <w:color w:val="000000"/>
              </w:rPr>
            </w:pPr>
            <w:r>
              <w:rPr>
                <w:rFonts w:eastAsia="Times New Roman" w:cs="Times New Roman"/>
                <w:color w:val="000000"/>
              </w:rPr>
              <w:t>72</w:t>
            </w:r>
          </w:p>
        </w:tc>
        <w:tc>
          <w:tcPr>
            <w:tcW w:w="0" w:type="auto"/>
            <w:tcBorders>
              <w:top w:val="nil"/>
              <w:left w:val="nil"/>
              <w:bottom w:val="single" w:sz="6" w:space="0" w:color="000000"/>
              <w:right w:val="single" w:sz="6" w:space="0" w:color="000000"/>
            </w:tcBorders>
            <w:tcMar>
              <w:top w:w="75" w:type="dxa"/>
              <w:bottom w:w="75" w:type="dxa"/>
            </w:tcMar>
            <w:vAlign w:val="center"/>
          </w:tcPr>
          <w:p w14:paraId="00F0A1AF" w14:textId="77777777" w:rsidR="006A50FF" w:rsidRDefault="00000000">
            <w:pPr>
              <w:spacing w:line="360" w:lineRule="auto"/>
              <w:jc w:val="center"/>
              <w:textAlignment w:val="center"/>
              <w:rPr>
                <w:color w:val="000000"/>
              </w:rPr>
            </w:pPr>
            <w:r>
              <w:rPr>
                <w:rFonts w:eastAsia="Times New Roman" w:cs="Times New Roman"/>
                <w:color w:val="000000"/>
              </w:rPr>
              <w:t>3</w:t>
            </w:r>
          </w:p>
        </w:tc>
        <w:tc>
          <w:tcPr>
            <w:tcW w:w="0" w:type="auto"/>
            <w:tcBorders>
              <w:top w:val="nil"/>
              <w:left w:val="nil"/>
              <w:bottom w:val="single" w:sz="6" w:space="0" w:color="000000"/>
              <w:right w:val="single" w:sz="6" w:space="0" w:color="000000"/>
            </w:tcBorders>
            <w:tcMar>
              <w:top w:w="75" w:type="dxa"/>
              <w:bottom w:w="75" w:type="dxa"/>
            </w:tcMar>
            <w:vAlign w:val="center"/>
          </w:tcPr>
          <w:p w14:paraId="2A775B37" w14:textId="77777777" w:rsidR="006A50FF" w:rsidRDefault="00000000">
            <w:pPr>
              <w:spacing w:line="360" w:lineRule="auto"/>
              <w:jc w:val="center"/>
              <w:textAlignment w:val="center"/>
              <w:rPr>
                <w:color w:val="000000"/>
              </w:rPr>
            </w:pPr>
            <w:r>
              <w:rPr>
                <w:rFonts w:eastAsia="Times New Roman" w:cs="Times New Roman"/>
                <w:color w:val="000000"/>
              </w:rPr>
              <w:t>3</w:t>
            </w:r>
          </w:p>
        </w:tc>
        <w:tc>
          <w:tcPr>
            <w:tcW w:w="0" w:type="auto"/>
            <w:tcBorders>
              <w:top w:val="nil"/>
              <w:left w:val="nil"/>
              <w:bottom w:val="single" w:sz="6" w:space="0" w:color="000000"/>
              <w:right w:val="single" w:sz="6" w:space="0" w:color="000000"/>
            </w:tcBorders>
            <w:tcMar>
              <w:top w:w="75" w:type="dxa"/>
              <w:bottom w:w="75" w:type="dxa"/>
            </w:tcMar>
            <w:vAlign w:val="center"/>
          </w:tcPr>
          <w:p w14:paraId="3FF32001" w14:textId="77777777" w:rsidR="006A50FF" w:rsidRDefault="00000000">
            <w:pPr>
              <w:spacing w:line="360" w:lineRule="auto"/>
              <w:jc w:val="center"/>
              <w:textAlignment w:val="center"/>
              <w:rPr>
                <w:color w:val="000000"/>
              </w:rPr>
            </w:pPr>
            <w:r>
              <w:rPr>
                <w:rFonts w:eastAsia="Times New Roman" w:cs="Times New Roman"/>
                <w:color w:val="000000"/>
              </w:rPr>
              <w:t>18</w:t>
            </w:r>
          </w:p>
        </w:tc>
        <w:tc>
          <w:tcPr>
            <w:tcW w:w="0" w:type="auto"/>
            <w:tcBorders>
              <w:top w:val="nil"/>
              <w:left w:val="nil"/>
              <w:bottom w:val="single" w:sz="6" w:space="0" w:color="000000"/>
              <w:right w:val="single" w:sz="6" w:space="0" w:color="000000"/>
            </w:tcBorders>
            <w:tcMar>
              <w:top w:w="75" w:type="dxa"/>
              <w:bottom w:w="75" w:type="dxa"/>
            </w:tcMar>
            <w:vAlign w:val="center"/>
          </w:tcPr>
          <w:p w14:paraId="6D1F8F3B" w14:textId="77777777" w:rsidR="006A50FF" w:rsidRDefault="00000000">
            <w:pPr>
              <w:spacing w:line="360" w:lineRule="auto"/>
              <w:jc w:val="center"/>
              <w:textAlignment w:val="center"/>
              <w:rPr>
                <w:color w:val="000000"/>
              </w:rPr>
            </w:pPr>
            <w:r>
              <w:rPr>
                <w:rFonts w:eastAsia="Times New Roman" w:cs="Times New Roman"/>
                <w:color w:val="000000"/>
              </w:rPr>
              <w:t>18</w:t>
            </w:r>
          </w:p>
        </w:tc>
      </w:tr>
    </w:tbl>
    <w:p w14:paraId="5670798D" w14:textId="77777777" w:rsidR="006A50FF" w:rsidRDefault="006A50FF">
      <w:pPr>
        <w:spacing w:line="360" w:lineRule="auto"/>
        <w:jc w:val="center"/>
        <w:textAlignment w:val="center"/>
        <w:rPr>
          <w:color w:val="000000"/>
        </w:rPr>
      </w:pPr>
    </w:p>
    <w:p w14:paraId="33F3FB74" w14:textId="77777777" w:rsidR="006A50FF" w:rsidRDefault="00000000">
      <w:pPr>
        <w:spacing w:line="360" w:lineRule="auto"/>
        <w:jc w:val="left"/>
        <w:textAlignment w:val="center"/>
        <w:rPr>
          <w:color w:val="000000"/>
        </w:rPr>
      </w:pPr>
      <w:r>
        <w:rPr>
          <w:color w:val="000000"/>
        </w:rPr>
        <w:t xml:space="preserve">A. </w:t>
      </w:r>
      <w:r>
        <w:rPr>
          <w:rFonts w:eastAsia="Times New Roman" w:cs="Times New Roman"/>
          <w:color w:val="000000"/>
        </w:rPr>
        <w:t>MS</w:t>
      </w:r>
      <w:r>
        <w:rPr>
          <w:rFonts w:ascii="宋体" w:hAnsi="宋体"/>
          <w:color w:val="000000"/>
        </w:rPr>
        <w:t>组是为了排除内源脱落酸和赤霉素的影响</w:t>
      </w:r>
    </w:p>
    <w:p w14:paraId="320253D4" w14:textId="77777777" w:rsidR="006A50FF" w:rsidRDefault="00000000">
      <w:pPr>
        <w:spacing w:line="360" w:lineRule="auto"/>
        <w:jc w:val="left"/>
        <w:textAlignment w:val="center"/>
        <w:rPr>
          <w:color w:val="000000"/>
        </w:rPr>
      </w:pPr>
      <w:r>
        <w:rPr>
          <w:color w:val="000000"/>
        </w:rPr>
        <w:t xml:space="preserve">B. </w:t>
      </w:r>
      <w:r>
        <w:rPr>
          <w:rFonts w:ascii="宋体" w:hAnsi="宋体"/>
          <w:color w:val="000000"/>
        </w:rPr>
        <w:t>基因</w:t>
      </w:r>
      <w:r>
        <w:rPr>
          <w:rFonts w:eastAsia="Times New Roman" w:cs="Times New Roman"/>
          <w:color w:val="000000"/>
        </w:rPr>
        <w:t>S</w:t>
      </w:r>
      <w:r>
        <w:rPr>
          <w:rFonts w:ascii="宋体" w:hAnsi="宋体"/>
          <w:color w:val="000000"/>
        </w:rPr>
        <w:t>通过增加赤霉素的活性促进种子萌发</w:t>
      </w:r>
    </w:p>
    <w:p w14:paraId="1E56B8D2" w14:textId="77777777" w:rsidR="006A50FF" w:rsidRDefault="00000000">
      <w:pPr>
        <w:spacing w:line="360" w:lineRule="auto"/>
        <w:jc w:val="left"/>
        <w:textAlignment w:val="center"/>
        <w:rPr>
          <w:color w:val="000000"/>
        </w:rPr>
      </w:pPr>
      <w:r>
        <w:rPr>
          <w:color w:val="000000"/>
        </w:rPr>
        <w:t xml:space="preserve">C. </w:t>
      </w:r>
      <w:r>
        <w:rPr>
          <w:rFonts w:ascii="宋体" w:hAnsi="宋体"/>
          <w:color w:val="000000"/>
        </w:rPr>
        <w:t>基因</w:t>
      </w:r>
      <w:r>
        <w:rPr>
          <w:rFonts w:eastAsia="Times New Roman" w:cs="Times New Roman"/>
          <w:color w:val="000000"/>
        </w:rPr>
        <w:t>S</w:t>
      </w:r>
      <w:r>
        <w:rPr>
          <w:rFonts w:ascii="宋体" w:hAnsi="宋体"/>
          <w:color w:val="000000"/>
        </w:rPr>
        <w:t>过表达减缓脱落酸对种子萌发的抑制</w:t>
      </w:r>
    </w:p>
    <w:p w14:paraId="7FFD0ABB" w14:textId="77777777" w:rsidR="006A50FF" w:rsidRDefault="00000000">
      <w:pPr>
        <w:spacing w:line="360" w:lineRule="auto"/>
        <w:jc w:val="left"/>
        <w:textAlignment w:val="center"/>
        <w:rPr>
          <w:color w:val="000000"/>
        </w:rPr>
      </w:pPr>
      <w:r>
        <w:rPr>
          <w:color w:val="000000"/>
        </w:rPr>
        <w:t xml:space="preserve">D. </w:t>
      </w:r>
      <w:r>
        <w:rPr>
          <w:rFonts w:ascii="宋体" w:hAnsi="宋体"/>
          <w:color w:val="000000"/>
        </w:rPr>
        <w:t>脱落酸和赤霉素在拟南芥种子的萌发过程中相互拮抗</w:t>
      </w:r>
    </w:p>
    <w:p w14:paraId="29919BD9" w14:textId="77777777" w:rsidR="006A50FF" w:rsidRDefault="00000000">
      <w:pPr>
        <w:spacing w:line="360" w:lineRule="auto"/>
        <w:jc w:val="left"/>
        <w:textAlignment w:val="center"/>
        <w:rPr>
          <w:color w:val="000000"/>
        </w:rPr>
      </w:pPr>
      <w:r>
        <w:rPr>
          <w:color w:val="000000"/>
        </w:rPr>
        <w:t xml:space="preserve">11. </w:t>
      </w:r>
      <w:r>
        <w:rPr>
          <w:rFonts w:ascii="宋体" w:hAnsi="宋体"/>
          <w:color w:val="000000"/>
        </w:rPr>
        <w:t>棉蚜是个体微小、肉眼可见的害虫。与不抗棉蚜棉花品种相比，抗棉蚜棉花品种体内某种次生代谢物的含量高，该次生代谢物对棉蚜有一定的毒害作用。下列说法错误的是（　　）</w:t>
      </w:r>
    </w:p>
    <w:p w14:paraId="5214ADAC" w14:textId="77777777" w:rsidR="006A50FF" w:rsidRDefault="00000000">
      <w:pPr>
        <w:spacing w:line="360" w:lineRule="auto"/>
        <w:jc w:val="left"/>
        <w:textAlignment w:val="center"/>
        <w:rPr>
          <w:color w:val="000000"/>
        </w:rPr>
      </w:pPr>
      <w:r>
        <w:rPr>
          <w:color w:val="000000"/>
        </w:rPr>
        <w:t xml:space="preserve">A. </w:t>
      </w:r>
      <w:r>
        <w:rPr>
          <w:rFonts w:ascii="宋体" w:hAnsi="宋体"/>
          <w:color w:val="000000"/>
        </w:rPr>
        <w:t>统计棉田不同害虫物种的相对数量时可用目测估计法</w:t>
      </w:r>
    </w:p>
    <w:p w14:paraId="7E577127" w14:textId="77777777" w:rsidR="006A50FF" w:rsidRDefault="00000000">
      <w:pPr>
        <w:spacing w:line="360" w:lineRule="auto"/>
        <w:jc w:val="left"/>
        <w:textAlignment w:val="center"/>
        <w:rPr>
          <w:color w:val="000000"/>
        </w:rPr>
      </w:pPr>
      <w:r>
        <w:rPr>
          <w:color w:val="000000"/>
        </w:rPr>
        <w:t xml:space="preserve">B. </w:t>
      </w:r>
      <w:r>
        <w:rPr>
          <w:rFonts w:ascii="宋体" w:hAnsi="宋体"/>
          <w:color w:val="000000"/>
        </w:rPr>
        <w:t>棉蚜天敌对棉蚜种群的作用强度与棉蚜种群的密度有关</w:t>
      </w:r>
    </w:p>
    <w:p w14:paraId="7B9CE4EB" w14:textId="77777777" w:rsidR="006A50FF" w:rsidRDefault="00000000">
      <w:pPr>
        <w:spacing w:line="360" w:lineRule="auto"/>
        <w:jc w:val="left"/>
        <w:textAlignment w:val="center"/>
        <w:rPr>
          <w:color w:val="000000"/>
        </w:rPr>
      </w:pPr>
      <w:r>
        <w:rPr>
          <w:color w:val="000000"/>
        </w:rPr>
        <w:t xml:space="preserve">C. </w:t>
      </w:r>
      <w:r>
        <w:rPr>
          <w:rFonts w:ascii="宋体" w:hAnsi="宋体"/>
          <w:color w:val="000000"/>
        </w:rPr>
        <w:t>提高棉花体内该次生代谢物的含量用于防治棉蚜属于化学防治</w:t>
      </w:r>
    </w:p>
    <w:p w14:paraId="4D070009" w14:textId="77777777" w:rsidR="006A50FF" w:rsidRDefault="00000000">
      <w:pPr>
        <w:spacing w:line="360" w:lineRule="auto"/>
        <w:jc w:val="left"/>
        <w:textAlignment w:val="center"/>
        <w:rPr>
          <w:color w:val="000000"/>
        </w:rPr>
      </w:pPr>
      <w:r>
        <w:rPr>
          <w:color w:val="000000"/>
        </w:rPr>
        <w:t xml:space="preserve">D. </w:t>
      </w:r>
      <w:r>
        <w:rPr>
          <w:rFonts w:ascii="宋体" w:hAnsi="宋体"/>
          <w:color w:val="000000"/>
        </w:rPr>
        <w:t>若用该次生代谢物防治棉蚜，需评估其对棉蚜天敌的影响</w:t>
      </w:r>
    </w:p>
    <w:p w14:paraId="20992C11" w14:textId="77777777" w:rsidR="006A50FF" w:rsidRDefault="00000000">
      <w:pPr>
        <w:spacing w:line="360" w:lineRule="auto"/>
        <w:jc w:val="left"/>
        <w:textAlignment w:val="center"/>
        <w:rPr>
          <w:color w:val="000000"/>
        </w:rPr>
      </w:pPr>
      <w:r>
        <w:rPr>
          <w:color w:val="000000"/>
        </w:rPr>
        <w:t xml:space="preserve">12. </w:t>
      </w:r>
      <w:r>
        <w:rPr>
          <w:rFonts w:ascii="宋体" w:hAnsi="宋体"/>
          <w:color w:val="000000"/>
        </w:rPr>
        <w:t>某稳定的生态系统某时刻第一、第二营养级的生物量分别为</w:t>
      </w:r>
      <w:r>
        <w:rPr>
          <w:rFonts w:eastAsia="Times New Roman" w:cs="Times New Roman"/>
          <w:color w:val="000000"/>
        </w:rPr>
        <w:t>6g/m</w:t>
      </w:r>
      <w:r>
        <w:rPr>
          <w:rFonts w:eastAsia="Times New Roman" w:cs="Times New Roman"/>
          <w:color w:val="000000"/>
          <w:vertAlign w:val="superscript"/>
        </w:rPr>
        <w:t>2</w:t>
      </w:r>
      <w:r>
        <w:rPr>
          <w:rFonts w:ascii="宋体" w:hAnsi="宋体"/>
          <w:color w:val="000000"/>
        </w:rPr>
        <w:t>和</w:t>
      </w:r>
      <w:r>
        <w:rPr>
          <w:rFonts w:eastAsia="Times New Roman" w:cs="Times New Roman"/>
          <w:color w:val="000000"/>
        </w:rPr>
        <w:t>30g/m</w:t>
      </w:r>
      <w:r>
        <w:rPr>
          <w:rFonts w:eastAsia="Times New Roman" w:cs="Times New Roman"/>
          <w:color w:val="000000"/>
          <w:vertAlign w:val="superscript"/>
        </w:rPr>
        <w:t>2</w:t>
      </w:r>
      <w:r>
        <w:rPr>
          <w:rFonts w:ascii="宋体" w:hAnsi="宋体"/>
          <w:color w:val="000000"/>
        </w:rPr>
        <w:t>，据此形成上宽下窄的生物量金字塔。该生态系统无有机物的输入与输出，下列说法错误的是（　　）</w:t>
      </w:r>
    </w:p>
    <w:p w14:paraId="2F3C5700" w14:textId="77777777" w:rsidR="006A50FF" w:rsidRDefault="00000000">
      <w:pPr>
        <w:spacing w:line="360" w:lineRule="auto"/>
        <w:jc w:val="left"/>
        <w:textAlignment w:val="center"/>
        <w:rPr>
          <w:color w:val="000000"/>
        </w:rPr>
      </w:pPr>
      <w:r>
        <w:rPr>
          <w:color w:val="000000"/>
        </w:rPr>
        <w:t xml:space="preserve">A. </w:t>
      </w:r>
      <w:r>
        <w:rPr>
          <w:rFonts w:ascii="宋体" w:hAnsi="宋体"/>
          <w:color w:val="000000"/>
        </w:rPr>
        <w:t>能量不能由第二营养级流向第一营养级</w:t>
      </w:r>
    </w:p>
    <w:p w14:paraId="38E27823" w14:textId="77777777" w:rsidR="006A50FF" w:rsidRDefault="00000000">
      <w:pPr>
        <w:spacing w:line="360" w:lineRule="auto"/>
        <w:jc w:val="left"/>
        <w:textAlignment w:val="center"/>
        <w:rPr>
          <w:color w:val="000000"/>
        </w:rPr>
      </w:pPr>
      <w:r>
        <w:rPr>
          <w:color w:val="000000"/>
        </w:rPr>
        <w:lastRenderedPageBreak/>
        <w:t xml:space="preserve">B. </w:t>
      </w:r>
      <w:r>
        <w:rPr>
          <w:rFonts w:ascii="宋体" w:hAnsi="宋体"/>
          <w:color w:val="000000"/>
        </w:rPr>
        <w:t>根据生物体内具有富集效应的金属浓度可辅助判断不同物种所处营养级的高低</w:t>
      </w:r>
    </w:p>
    <w:p w14:paraId="6327A816" w14:textId="77777777" w:rsidR="006A50FF" w:rsidRDefault="00000000">
      <w:pPr>
        <w:spacing w:line="360" w:lineRule="auto"/>
        <w:jc w:val="left"/>
        <w:textAlignment w:val="center"/>
        <w:rPr>
          <w:color w:val="000000"/>
        </w:rPr>
      </w:pPr>
      <w:r>
        <w:rPr>
          <w:color w:val="000000"/>
        </w:rPr>
        <w:t xml:space="preserve">C. </w:t>
      </w:r>
      <w:r>
        <w:rPr>
          <w:rFonts w:ascii="宋体" w:hAnsi="宋体"/>
          <w:color w:val="000000"/>
        </w:rPr>
        <w:t>流入分解者的有机物中的能量都直接或间接来自于第一营养级固定的能量</w:t>
      </w:r>
    </w:p>
    <w:p w14:paraId="036837E0" w14:textId="77777777" w:rsidR="006A50FF" w:rsidRDefault="00000000">
      <w:pPr>
        <w:spacing w:line="360" w:lineRule="auto"/>
        <w:jc w:val="left"/>
        <w:textAlignment w:val="center"/>
        <w:rPr>
          <w:color w:val="000000"/>
        </w:rPr>
      </w:pPr>
      <w:r>
        <w:rPr>
          <w:color w:val="000000"/>
        </w:rPr>
        <w:t xml:space="preserve">D. </w:t>
      </w:r>
      <w:r>
        <w:rPr>
          <w:rFonts w:ascii="宋体" w:hAnsi="宋体"/>
          <w:color w:val="000000"/>
        </w:rPr>
        <w:t>第一营养级固定的能量可能小于第二营养级同化的能量</w:t>
      </w:r>
    </w:p>
    <w:p w14:paraId="503444B8" w14:textId="77777777" w:rsidR="006A50FF" w:rsidRDefault="00000000">
      <w:pPr>
        <w:spacing w:line="360" w:lineRule="auto"/>
        <w:jc w:val="left"/>
        <w:textAlignment w:val="center"/>
        <w:rPr>
          <w:color w:val="000000"/>
        </w:rPr>
      </w:pPr>
      <w:r>
        <w:rPr>
          <w:color w:val="000000"/>
        </w:rPr>
        <w:t xml:space="preserve">13. </w:t>
      </w:r>
      <w:r>
        <w:rPr>
          <w:rFonts w:ascii="宋体" w:hAnsi="宋体"/>
          <w:color w:val="000000"/>
        </w:rPr>
        <w:t>关于“</w:t>
      </w:r>
      <w:r>
        <w:rPr>
          <w:rFonts w:eastAsia="Times New Roman" w:cs="Times New Roman"/>
          <w:color w:val="000000"/>
        </w:rPr>
        <w:t>DNA</w:t>
      </w:r>
      <w:r>
        <w:rPr>
          <w:rFonts w:ascii="宋体" w:hAnsi="宋体"/>
          <w:color w:val="000000"/>
        </w:rPr>
        <w:t>的粗提取与鉴定”实验，下列说法正确的是（　　）</w:t>
      </w:r>
    </w:p>
    <w:p w14:paraId="003D3777" w14:textId="77777777" w:rsidR="006A50FF" w:rsidRDefault="00000000">
      <w:pPr>
        <w:spacing w:line="360" w:lineRule="auto"/>
        <w:jc w:val="left"/>
        <w:textAlignment w:val="center"/>
        <w:rPr>
          <w:color w:val="000000"/>
        </w:rPr>
      </w:pPr>
      <w:r>
        <w:rPr>
          <w:color w:val="000000"/>
        </w:rPr>
        <w:t xml:space="preserve">A. </w:t>
      </w:r>
      <w:r>
        <w:rPr>
          <w:rFonts w:ascii="宋体" w:hAnsi="宋体"/>
          <w:color w:val="000000"/>
        </w:rPr>
        <w:t>整个提取过程中可以不使用离心机</w:t>
      </w:r>
    </w:p>
    <w:p w14:paraId="478583EE" w14:textId="77777777" w:rsidR="006A50FF" w:rsidRDefault="00000000">
      <w:pPr>
        <w:spacing w:line="360" w:lineRule="auto"/>
        <w:jc w:val="left"/>
        <w:textAlignment w:val="center"/>
        <w:rPr>
          <w:color w:val="000000"/>
        </w:rPr>
      </w:pPr>
      <w:r>
        <w:rPr>
          <w:color w:val="000000"/>
        </w:rPr>
        <w:t xml:space="preserve">B. </w:t>
      </w:r>
      <w:r>
        <w:rPr>
          <w:rFonts w:ascii="宋体" w:hAnsi="宋体"/>
          <w:color w:val="000000"/>
        </w:rPr>
        <w:t>研磨液在</w:t>
      </w:r>
      <w:r>
        <w:rPr>
          <w:rFonts w:eastAsia="Times New Roman" w:cs="Times New Roman"/>
          <w:color w:val="000000"/>
        </w:rPr>
        <w:t>4</w:t>
      </w:r>
      <w:r>
        <w:rPr>
          <w:rFonts w:ascii="宋体" w:hAnsi="宋体"/>
          <w:color w:val="000000"/>
        </w:rPr>
        <w:t>℃冰箱中放置几分钟后，应充分摇匀再倒入烧杯中</w:t>
      </w:r>
    </w:p>
    <w:p w14:paraId="68232809" w14:textId="77777777" w:rsidR="006A50FF" w:rsidRDefault="00000000">
      <w:pPr>
        <w:spacing w:line="360" w:lineRule="auto"/>
        <w:jc w:val="left"/>
        <w:textAlignment w:val="center"/>
        <w:rPr>
          <w:color w:val="000000"/>
        </w:rPr>
      </w:pPr>
      <w:r>
        <w:rPr>
          <w:color w:val="000000"/>
        </w:rPr>
        <w:t xml:space="preserve">C. </w:t>
      </w:r>
      <w:r>
        <w:rPr>
          <w:rFonts w:ascii="宋体" w:hAnsi="宋体"/>
          <w:color w:val="000000"/>
        </w:rPr>
        <w:t>鉴定过程中</w:t>
      </w:r>
      <w:r>
        <w:rPr>
          <w:rFonts w:eastAsia="Times New Roman" w:cs="Times New Roman"/>
          <w:color w:val="000000"/>
        </w:rPr>
        <w:t>DNA</w:t>
      </w:r>
      <w:r>
        <w:rPr>
          <w:rFonts w:ascii="宋体" w:hAnsi="宋体"/>
          <w:color w:val="000000"/>
        </w:rPr>
        <w:t>双螺旋结构不发生改变</w:t>
      </w:r>
    </w:p>
    <w:p w14:paraId="27C3E30C" w14:textId="77777777" w:rsidR="006A50FF" w:rsidRDefault="00000000">
      <w:pPr>
        <w:spacing w:line="360" w:lineRule="auto"/>
        <w:jc w:val="left"/>
        <w:textAlignment w:val="center"/>
        <w:rPr>
          <w:color w:val="000000"/>
        </w:rPr>
      </w:pPr>
      <w:r>
        <w:rPr>
          <w:color w:val="000000"/>
        </w:rPr>
        <w:t xml:space="preserve">D. </w:t>
      </w:r>
      <w:r>
        <w:rPr>
          <w:rFonts w:ascii="宋体" w:hAnsi="宋体"/>
          <w:color w:val="000000"/>
        </w:rPr>
        <w:t>仅设置一个对照组不能排除二苯胺加热后可能变蓝的干扰</w:t>
      </w:r>
    </w:p>
    <w:p w14:paraId="20EA0DEA" w14:textId="77777777" w:rsidR="006A50FF" w:rsidRDefault="00000000">
      <w:pPr>
        <w:spacing w:line="360" w:lineRule="auto"/>
        <w:jc w:val="left"/>
        <w:textAlignment w:val="center"/>
        <w:rPr>
          <w:color w:val="000000"/>
        </w:rPr>
      </w:pPr>
      <w:r>
        <w:rPr>
          <w:color w:val="000000"/>
        </w:rPr>
        <w:t xml:space="preserve">14. </w:t>
      </w:r>
      <w:r>
        <w:rPr>
          <w:rFonts w:ascii="宋体" w:hAnsi="宋体"/>
          <w:color w:val="000000"/>
        </w:rPr>
        <w:t>在发酵过程中，多个黑曲霉菌体常聚集成团形成菌球体，菌球体大小仅由菌体数量决定。黑曲霉利用糖类发酵产生柠檬酸时需要充足的氧。菌体内铵离子浓度升高时，可解除柠檬酸对其合成途径的反馈抑制。下列说法错误的是（　　）</w:t>
      </w:r>
    </w:p>
    <w:p w14:paraId="4E249995" w14:textId="77777777" w:rsidR="006A50FF" w:rsidRDefault="00000000">
      <w:pPr>
        <w:spacing w:line="360" w:lineRule="auto"/>
        <w:jc w:val="left"/>
        <w:textAlignment w:val="center"/>
        <w:rPr>
          <w:color w:val="000000"/>
        </w:rPr>
      </w:pPr>
      <w:r>
        <w:rPr>
          <w:color w:val="000000"/>
        </w:rPr>
        <w:t xml:space="preserve">A. </w:t>
      </w:r>
      <w:r>
        <w:rPr>
          <w:rFonts w:ascii="宋体" w:hAnsi="宋体"/>
          <w:color w:val="000000"/>
        </w:rPr>
        <w:t>相同菌体密度下，菌球体越大柠檬酸产生速率越慢</w:t>
      </w:r>
    </w:p>
    <w:p w14:paraId="6D24BF38" w14:textId="77777777" w:rsidR="006A50FF" w:rsidRDefault="00000000">
      <w:pPr>
        <w:spacing w:line="360" w:lineRule="auto"/>
        <w:jc w:val="left"/>
        <w:textAlignment w:val="center"/>
        <w:rPr>
          <w:color w:val="000000"/>
        </w:rPr>
      </w:pPr>
      <w:r>
        <w:rPr>
          <w:color w:val="000000"/>
        </w:rPr>
        <w:t xml:space="preserve">B. </w:t>
      </w:r>
      <w:r>
        <w:rPr>
          <w:rFonts w:ascii="宋体" w:hAnsi="宋体"/>
          <w:color w:val="000000"/>
        </w:rPr>
        <w:t>发酵中期添加一定量的硫酸铵可提高柠檬酸产量</w:t>
      </w:r>
    </w:p>
    <w:p w14:paraId="35C8BC3C" w14:textId="77777777" w:rsidR="006A50FF" w:rsidRDefault="00000000">
      <w:pPr>
        <w:spacing w:line="360" w:lineRule="auto"/>
        <w:jc w:val="left"/>
        <w:textAlignment w:val="center"/>
        <w:rPr>
          <w:color w:val="000000"/>
        </w:rPr>
      </w:pPr>
      <w:r>
        <w:rPr>
          <w:color w:val="000000"/>
        </w:rPr>
        <w:t xml:space="preserve">C. </w:t>
      </w:r>
      <w:r>
        <w:rPr>
          <w:rFonts w:ascii="宋体" w:hAnsi="宋体"/>
          <w:color w:val="000000"/>
        </w:rPr>
        <w:t>发酵过程中</w:t>
      </w:r>
      <w:r>
        <w:rPr>
          <w:rFonts w:eastAsia="Times New Roman" w:cs="Times New Roman"/>
          <w:color w:val="000000"/>
        </w:rPr>
        <w:t>pH</w:t>
      </w:r>
      <w:r>
        <w:rPr>
          <w:rFonts w:ascii="宋体" w:hAnsi="宋体"/>
          <w:color w:val="000000"/>
        </w:rPr>
        <w:t>下降可抑制大部分细菌的生长</w:t>
      </w:r>
    </w:p>
    <w:p w14:paraId="70EA0B0F" w14:textId="77777777" w:rsidR="006A50FF" w:rsidRDefault="00000000">
      <w:pPr>
        <w:spacing w:line="360" w:lineRule="auto"/>
        <w:jc w:val="left"/>
        <w:textAlignment w:val="center"/>
        <w:rPr>
          <w:color w:val="000000"/>
        </w:rPr>
      </w:pPr>
      <w:r>
        <w:rPr>
          <w:color w:val="000000"/>
        </w:rPr>
        <w:t xml:space="preserve">D. </w:t>
      </w:r>
      <w:r>
        <w:rPr>
          <w:rFonts w:ascii="宋体" w:hAnsi="宋体"/>
          <w:color w:val="000000"/>
        </w:rPr>
        <w:t>发酵结束后，将过滤所得的固体物质进行干燥即可获得柠檬酸产品</w:t>
      </w:r>
    </w:p>
    <w:p w14:paraId="5DB7204E" w14:textId="77777777" w:rsidR="006A50FF" w:rsidRDefault="00000000">
      <w:pPr>
        <w:spacing w:line="360" w:lineRule="auto"/>
        <w:jc w:val="left"/>
        <w:textAlignment w:val="center"/>
        <w:rPr>
          <w:color w:val="000000"/>
        </w:rPr>
      </w:pPr>
      <w:r>
        <w:rPr>
          <w:color w:val="000000"/>
        </w:rPr>
        <w:t xml:space="preserve">15. </w:t>
      </w:r>
      <w:r>
        <w:rPr>
          <w:rFonts w:ascii="宋体" w:hAnsi="宋体"/>
          <w:color w:val="000000"/>
        </w:rPr>
        <w:t>酵母菌在合成色氨酸时需要</w:t>
      </w:r>
      <w:r>
        <w:rPr>
          <w:rFonts w:eastAsia="Times New Roman" w:cs="Times New Roman"/>
          <w:color w:val="000000"/>
        </w:rPr>
        <w:t>3</w:t>
      </w:r>
      <w:r>
        <w:rPr>
          <w:rFonts w:ascii="宋体" w:hAnsi="宋体"/>
          <w:color w:val="000000"/>
        </w:rPr>
        <w:t>种酶</w:t>
      </w:r>
      <w:r>
        <w:rPr>
          <w:rFonts w:eastAsia="Times New Roman" w:cs="Times New Roman"/>
          <w:color w:val="000000"/>
        </w:rPr>
        <w:t>X</w:t>
      </w:r>
      <w:r>
        <w:rPr>
          <w:rFonts w:ascii="宋体" w:hAnsi="宋体"/>
          <w:color w:val="000000"/>
        </w:rPr>
        <w:t>、</w:t>
      </w:r>
      <w:r>
        <w:rPr>
          <w:rFonts w:eastAsia="Times New Roman" w:cs="Times New Roman"/>
          <w:color w:val="000000"/>
        </w:rPr>
        <w:t>Y</w:t>
      </w:r>
      <w:r>
        <w:rPr>
          <w:rFonts w:ascii="宋体" w:hAnsi="宋体"/>
          <w:color w:val="000000"/>
        </w:rPr>
        <w:t>和</w:t>
      </w:r>
      <w:r>
        <w:rPr>
          <w:rFonts w:eastAsia="Times New Roman" w:cs="Times New Roman"/>
          <w:color w:val="000000"/>
        </w:rPr>
        <w:t>Z</w:t>
      </w:r>
      <w:r>
        <w:rPr>
          <w:rFonts w:ascii="宋体" w:hAnsi="宋体"/>
          <w:color w:val="000000"/>
        </w:rPr>
        <w:t>，</w:t>
      </w:r>
      <w:r>
        <w:rPr>
          <w:rFonts w:eastAsia="Times New Roman" w:cs="Times New Roman"/>
          <w:color w:val="000000"/>
        </w:rPr>
        <w:t>trpX</w:t>
      </w:r>
      <w:r>
        <w:rPr>
          <w:rFonts w:ascii="宋体" w:hAnsi="宋体"/>
          <w:color w:val="000000"/>
        </w:rPr>
        <w:t>、</w:t>
      </w:r>
      <w:r>
        <w:rPr>
          <w:rFonts w:eastAsia="Times New Roman" w:cs="Times New Roman"/>
          <w:color w:val="000000"/>
        </w:rPr>
        <w:t>trpY</w:t>
      </w:r>
      <w:r>
        <w:rPr>
          <w:rFonts w:ascii="宋体" w:hAnsi="宋体"/>
          <w:color w:val="000000"/>
        </w:rPr>
        <w:t>和</w:t>
      </w:r>
      <w:r>
        <w:rPr>
          <w:rFonts w:eastAsia="Times New Roman" w:cs="Times New Roman"/>
          <w:color w:val="000000"/>
        </w:rPr>
        <w:t>trpZ</w:t>
      </w:r>
      <w:r>
        <w:rPr>
          <w:rFonts w:ascii="宋体" w:hAnsi="宋体"/>
          <w:color w:val="000000"/>
        </w:rPr>
        <w:t>分别为相应酶的编码基因突变的色氨酸依赖型突变体。已知</w:t>
      </w:r>
      <w:r>
        <w:rPr>
          <w:rFonts w:eastAsia="Times New Roman" w:cs="Times New Roman"/>
          <w:color w:val="000000"/>
        </w:rPr>
        <w:t>3</w:t>
      </w:r>
      <w:r>
        <w:rPr>
          <w:rFonts w:ascii="宋体" w:hAnsi="宋体"/>
          <w:color w:val="000000"/>
        </w:rPr>
        <w:t>种酶均不能进出细胞，而色氨酸合成途径的中间产物积累到一定程度时可分泌到胞外。将这</w:t>
      </w:r>
      <w:r>
        <w:rPr>
          <w:rFonts w:eastAsia="Times New Roman" w:cs="Times New Roman"/>
          <w:color w:val="000000"/>
        </w:rPr>
        <w:t>3</w:t>
      </w:r>
      <w:r>
        <w:rPr>
          <w:rFonts w:ascii="宋体" w:hAnsi="宋体"/>
          <w:color w:val="000000"/>
        </w:rPr>
        <w:t>种突变体均匀划线接种到含有少量色氨酸的培养基上，生长情况如图。据图分析，</w:t>
      </w:r>
      <w:r>
        <w:rPr>
          <w:rFonts w:eastAsia="Times New Roman" w:cs="Times New Roman"/>
          <w:color w:val="000000"/>
        </w:rPr>
        <w:t>3</w:t>
      </w:r>
      <w:r>
        <w:rPr>
          <w:rFonts w:ascii="宋体" w:hAnsi="宋体"/>
          <w:color w:val="000000"/>
        </w:rPr>
        <w:t>种酶在该合成途径中的作用顺序为（　　）</w:t>
      </w:r>
    </w:p>
    <w:p w14:paraId="555F32DE" w14:textId="77777777" w:rsidR="006A50FF" w:rsidRDefault="00000000">
      <w:pPr>
        <w:spacing w:line="360" w:lineRule="auto"/>
        <w:jc w:val="center"/>
        <w:textAlignment w:val="center"/>
        <w:rPr>
          <w:color w:val="000000"/>
        </w:rPr>
      </w:pPr>
      <w:r>
        <w:rPr>
          <w:noProof/>
          <w:color w:val="000000"/>
        </w:rPr>
        <w:lastRenderedPageBreak/>
        <w:drawing>
          <wp:inline distT="0" distB="0" distL="114300" distR="114300" wp14:anchorId="7E342F34" wp14:editId="3303E822">
            <wp:extent cx="2228850" cy="2190750"/>
            <wp:effectExtent l="0" t="0" r="0" b="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9"/>
                    <a:stretch>
                      <a:fillRect/>
                    </a:stretch>
                  </pic:blipFill>
                  <pic:spPr>
                    <a:xfrm>
                      <a:off x="0" y="0"/>
                      <a:ext cx="2228850" cy="2190750"/>
                    </a:xfrm>
                    <a:prstGeom prst="rect">
                      <a:avLst/>
                    </a:prstGeom>
                  </pic:spPr>
                </pic:pic>
              </a:graphicData>
            </a:graphic>
          </wp:inline>
        </w:drawing>
      </w:r>
    </w:p>
    <w:p w14:paraId="402F4305" w14:textId="77777777" w:rsidR="006A50FF" w:rsidRDefault="00000000">
      <w:pPr>
        <w:tabs>
          <w:tab w:val="left" w:pos="2436"/>
          <w:tab w:val="left" w:pos="4873"/>
          <w:tab w:val="left" w:pos="7309"/>
        </w:tabs>
        <w:spacing w:line="360" w:lineRule="auto"/>
        <w:jc w:val="left"/>
        <w:textAlignment w:val="center"/>
        <w:rPr>
          <w:color w:val="000000"/>
        </w:rPr>
      </w:pPr>
      <w:r>
        <w:rPr>
          <w:color w:val="000000"/>
        </w:rPr>
        <w:t xml:space="preserve">A. </w:t>
      </w:r>
      <w:r>
        <w:rPr>
          <w:rFonts w:eastAsia="Times New Roman" w:cs="Times New Roman"/>
          <w:color w:val="000000"/>
        </w:rPr>
        <w:t>X→Y→Z</w:t>
      </w:r>
      <w:r>
        <w:rPr>
          <w:color w:val="000000"/>
        </w:rPr>
        <w:tab/>
        <w:t xml:space="preserve">B. </w:t>
      </w:r>
      <w:r>
        <w:rPr>
          <w:rFonts w:eastAsia="Times New Roman" w:cs="Times New Roman"/>
          <w:color w:val="000000"/>
        </w:rPr>
        <w:t>Z→Y→X</w:t>
      </w:r>
      <w:r>
        <w:rPr>
          <w:color w:val="000000"/>
        </w:rPr>
        <w:tab/>
        <w:t xml:space="preserve">C. </w:t>
      </w:r>
      <w:r>
        <w:rPr>
          <w:rFonts w:eastAsia="Times New Roman" w:cs="Times New Roman"/>
          <w:color w:val="000000"/>
        </w:rPr>
        <w:t>Y→X→Z</w:t>
      </w:r>
      <w:r>
        <w:rPr>
          <w:color w:val="000000"/>
        </w:rPr>
        <w:tab/>
        <w:t xml:space="preserve">D. </w:t>
      </w:r>
      <w:r>
        <w:rPr>
          <w:rFonts w:eastAsia="Times New Roman" w:cs="Times New Roman"/>
          <w:color w:val="000000"/>
        </w:rPr>
        <w:t>Z→X→Y</w:t>
      </w:r>
    </w:p>
    <w:p w14:paraId="702ADE85" w14:textId="77777777" w:rsidR="006A50FF" w:rsidRDefault="00000000">
      <w:pPr>
        <w:spacing w:line="360" w:lineRule="auto"/>
        <w:jc w:val="left"/>
        <w:textAlignment w:val="center"/>
        <w:rPr>
          <w:color w:val="000000"/>
        </w:rPr>
      </w:pPr>
      <w:r>
        <w:rPr>
          <w:rFonts w:ascii="宋体" w:hAnsi="宋体"/>
          <w:b/>
          <w:color w:val="000000"/>
          <w:sz w:val="24"/>
        </w:rPr>
        <w:t>二、选择题：本题共</w:t>
      </w:r>
      <w:r>
        <w:rPr>
          <w:rFonts w:eastAsia="Times New Roman" w:cs="Times New Roman"/>
          <w:b/>
          <w:color w:val="000000"/>
          <w:sz w:val="24"/>
        </w:rPr>
        <w:t>5</w:t>
      </w:r>
      <w:r>
        <w:rPr>
          <w:rFonts w:ascii="宋体" w:hAnsi="宋体"/>
          <w:b/>
          <w:color w:val="000000"/>
          <w:sz w:val="24"/>
        </w:rPr>
        <w:t>小题，每小题</w:t>
      </w:r>
      <w:r>
        <w:rPr>
          <w:rFonts w:eastAsia="Times New Roman" w:cs="Times New Roman"/>
          <w:b/>
          <w:color w:val="000000"/>
          <w:sz w:val="24"/>
        </w:rPr>
        <w:t>3</w:t>
      </w:r>
      <w:r>
        <w:rPr>
          <w:rFonts w:ascii="宋体" w:hAnsi="宋体"/>
          <w:b/>
          <w:color w:val="000000"/>
          <w:sz w:val="24"/>
        </w:rPr>
        <w:t>分，共</w:t>
      </w:r>
      <w:r>
        <w:rPr>
          <w:rFonts w:eastAsia="Times New Roman" w:cs="Times New Roman"/>
          <w:b/>
          <w:color w:val="000000"/>
          <w:sz w:val="24"/>
        </w:rPr>
        <w:t>15</w:t>
      </w:r>
      <w:r>
        <w:rPr>
          <w:rFonts w:ascii="宋体" w:hAnsi="宋体"/>
          <w:b/>
          <w:color w:val="000000"/>
          <w:sz w:val="24"/>
        </w:rPr>
        <w:t>分。每小题有一个或多个选项符合题目要求，全部选对得</w:t>
      </w:r>
      <w:r>
        <w:rPr>
          <w:rFonts w:eastAsia="Times New Roman" w:cs="Times New Roman"/>
          <w:b/>
          <w:color w:val="000000"/>
          <w:sz w:val="24"/>
        </w:rPr>
        <w:t>3</w:t>
      </w:r>
      <w:r>
        <w:rPr>
          <w:rFonts w:ascii="宋体" w:hAnsi="宋体"/>
          <w:b/>
          <w:color w:val="000000"/>
          <w:sz w:val="24"/>
        </w:rPr>
        <w:t>分，选对但不全的得</w:t>
      </w:r>
      <w:r>
        <w:rPr>
          <w:rFonts w:eastAsia="Times New Roman" w:cs="Times New Roman"/>
          <w:b/>
          <w:color w:val="000000"/>
          <w:sz w:val="24"/>
        </w:rPr>
        <w:t>1</w:t>
      </w:r>
      <w:r>
        <w:rPr>
          <w:rFonts w:ascii="宋体" w:hAnsi="宋体"/>
          <w:b/>
          <w:color w:val="000000"/>
          <w:sz w:val="24"/>
        </w:rPr>
        <w:t>分，有选错的得</w:t>
      </w:r>
      <w:r>
        <w:rPr>
          <w:rFonts w:eastAsia="Times New Roman" w:cs="Times New Roman"/>
          <w:b/>
          <w:color w:val="000000"/>
          <w:sz w:val="24"/>
        </w:rPr>
        <w:t>0</w:t>
      </w:r>
      <w:r>
        <w:rPr>
          <w:rFonts w:ascii="宋体" w:hAnsi="宋体"/>
          <w:b/>
          <w:color w:val="000000"/>
          <w:sz w:val="24"/>
        </w:rPr>
        <w:t>分。</w:t>
      </w:r>
    </w:p>
    <w:p w14:paraId="37A78E00" w14:textId="77777777" w:rsidR="006A50FF" w:rsidRDefault="00000000">
      <w:pPr>
        <w:spacing w:line="360" w:lineRule="auto"/>
        <w:jc w:val="left"/>
        <w:textAlignment w:val="center"/>
        <w:rPr>
          <w:color w:val="000000"/>
        </w:rPr>
      </w:pPr>
      <w:r>
        <w:rPr>
          <w:color w:val="000000"/>
        </w:rPr>
        <w:t xml:space="preserve">16. </w:t>
      </w:r>
      <w:r>
        <w:rPr>
          <w:rFonts w:ascii="宋体" w:hAnsi="宋体"/>
          <w:color w:val="000000"/>
        </w:rPr>
        <w:t>种皮会限制</w:t>
      </w:r>
      <w:r>
        <w:rPr>
          <w:rFonts w:eastAsia="Times New Roman" w:cs="Times New Roman"/>
          <w:color w:val="000000"/>
        </w:rPr>
        <w:t>O</w:t>
      </w:r>
      <w:r>
        <w:rPr>
          <w:color w:val="000000"/>
          <w:vertAlign w:val="subscript"/>
        </w:rPr>
        <w:t>2</w:t>
      </w:r>
      <w:r>
        <w:rPr>
          <w:rFonts w:ascii="宋体" w:hAnsi="宋体"/>
          <w:color w:val="000000"/>
        </w:rPr>
        <w:t>进入种子。豌豆干种子吸水萌发实验中子叶耗氧量、乙醇脱氢酶活性与被氧化的</w:t>
      </w:r>
      <w:r>
        <w:rPr>
          <w:rFonts w:eastAsia="Times New Roman" w:cs="Times New Roman"/>
          <w:color w:val="000000"/>
        </w:rPr>
        <w:t>NADH</w:t>
      </w:r>
      <w:r>
        <w:rPr>
          <w:rFonts w:ascii="宋体" w:hAnsi="宋体"/>
          <w:color w:val="000000"/>
        </w:rPr>
        <w:t>的关系如图所示。已知无氧呼吸中，乙醇脱氢酶催化生成乙醇，与此同时</w:t>
      </w:r>
      <w:r>
        <w:rPr>
          <w:rFonts w:eastAsia="Times New Roman" w:cs="Times New Roman"/>
          <w:color w:val="000000"/>
        </w:rPr>
        <w:t>NADH</w:t>
      </w:r>
      <w:r>
        <w:rPr>
          <w:rFonts w:ascii="宋体" w:hAnsi="宋体"/>
          <w:color w:val="000000"/>
        </w:rPr>
        <w:t>被氧化。下列说法正确的是（　　）</w:t>
      </w:r>
    </w:p>
    <w:p w14:paraId="31FF6F3E" w14:textId="77777777" w:rsidR="006A50FF" w:rsidRDefault="00000000">
      <w:pPr>
        <w:spacing w:line="360" w:lineRule="auto"/>
        <w:jc w:val="center"/>
        <w:textAlignment w:val="center"/>
        <w:rPr>
          <w:color w:val="000000"/>
        </w:rPr>
      </w:pPr>
      <w:r>
        <w:rPr>
          <w:noProof/>
          <w:color w:val="000000"/>
        </w:rPr>
        <w:drawing>
          <wp:inline distT="0" distB="0" distL="114300" distR="114300" wp14:anchorId="37ED3F23" wp14:editId="239BF2F0">
            <wp:extent cx="2867025" cy="1590675"/>
            <wp:effectExtent l="0" t="0" r="9525" b="0"/>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10"/>
                    <a:stretch>
                      <a:fillRect/>
                    </a:stretch>
                  </pic:blipFill>
                  <pic:spPr>
                    <a:xfrm>
                      <a:off x="0" y="0"/>
                      <a:ext cx="2867025" cy="1590675"/>
                    </a:xfrm>
                    <a:prstGeom prst="rect">
                      <a:avLst/>
                    </a:prstGeom>
                  </pic:spPr>
                </pic:pic>
              </a:graphicData>
            </a:graphic>
          </wp:inline>
        </w:drawing>
      </w:r>
    </w:p>
    <w:p w14:paraId="2F5B5DD0" w14:textId="77777777" w:rsidR="006A50FF" w:rsidRDefault="00000000">
      <w:pPr>
        <w:spacing w:line="360" w:lineRule="auto"/>
        <w:jc w:val="left"/>
        <w:textAlignment w:val="center"/>
        <w:rPr>
          <w:color w:val="000000"/>
        </w:rPr>
      </w:pPr>
      <w:r>
        <w:rPr>
          <w:color w:val="000000"/>
        </w:rPr>
        <w:t xml:space="preserve">A. </w:t>
      </w:r>
      <w:r>
        <w:rPr>
          <w:rFonts w:eastAsia="Times New Roman" w:cs="Times New Roman"/>
          <w:color w:val="000000"/>
        </w:rPr>
        <w:t>p</w:t>
      </w:r>
      <w:r>
        <w:rPr>
          <w:rFonts w:ascii="宋体" w:hAnsi="宋体"/>
          <w:color w:val="000000"/>
        </w:rPr>
        <w:t>点为种皮被突破的时间点</w:t>
      </w:r>
    </w:p>
    <w:p w14:paraId="5F2AC88E" w14:textId="77777777" w:rsidR="006A50FF" w:rsidRDefault="00000000">
      <w:pPr>
        <w:spacing w:line="360" w:lineRule="auto"/>
        <w:jc w:val="left"/>
        <w:textAlignment w:val="center"/>
        <w:rPr>
          <w:color w:val="000000"/>
        </w:rPr>
      </w:pPr>
      <w:r>
        <w:rPr>
          <w:color w:val="000000"/>
        </w:rPr>
        <w:t xml:space="preserve">B. </w:t>
      </w:r>
      <w:r>
        <w:rPr>
          <w:rFonts w:ascii="宋体" w:hAnsi="宋体"/>
          <w:color w:val="000000"/>
        </w:rPr>
        <w:t>Ⅱ阶段种子内</w:t>
      </w:r>
      <w:r>
        <w:rPr>
          <w:rFonts w:eastAsia="Times New Roman" w:cs="Times New Roman"/>
          <w:color w:val="000000"/>
        </w:rPr>
        <w:t>O</w:t>
      </w:r>
      <w:r>
        <w:rPr>
          <w:color w:val="000000"/>
          <w:vertAlign w:val="subscript"/>
        </w:rPr>
        <w:t>2</w:t>
      </w:r>
      <w:r>
        <w:rPr>
          <w:rFonts w:ascii="宋体" w:hAnsi="宋体"/>
          <w:color w:val="000000"/>
        </w:rPr>
        <w:t>浓度降低限制了有氧呼吸</w:t>
      </w:r>
    </w:p>
    <w:p w14:paraId="075CE12E" w14:textId="77777777" w:rsidR="006A50FF" w:rsidRDefault="00000000">
      <w:pPr>
        <w:spacing w:line="360" w:lineRule="auto"/>
        <w:jc w:val="left"/>
        <w:textAlignment w:val="center"/>
        <w:rPr>
          <w:color w:val="000000"/>
        </w:rPr>
      </w:pPr>
      <w:r>
        <w:rPr>
          <w:color w:val="000000"/>
        </w:rPr>
        <w:t xml:space="preserve">C. </w:t>
      </w:r>
      <w:r>
        <w:rPr>
          <w:rFonts w:ascii="宋体" w:hAnsi="宋体"/>
          <w:color w:val="000000"/>
        </w:rPr>
        <w:t>Ⅲ阶段种子无氧呼吸合成乙醇的速率逐渐增加</w:t>
      </w:r>
    </w:p>
    <w:p w14:paraId="11376347" w14:textId="77777777" w:rsidR="006A50FF" w:rsidRDefault="00000000">
      <w:pPr>
        <w:spacing w:line="360" w:lineRule="auto"/>
        <w:jc w:val="left"/>
        <w:textAlignment w:val="center"/>
        <w:rPr>
          <w:color w:val="000000"/>
        </w:rPr>
      </w:pPr>
      <w:r>
        <w:rPr>
          <w:color w:val="000000"/>
        </w:rPr>
        <w:t xml:space="preserve">D. </w:t>
      </w:r>
      <w:r>
        <w:rPr>
          <w:rFonts w:eastAsia="Times New Roman" w:cs="Times New Roman"/>
          <w:color w:val="000000"/>
        </w:rPr>
        <w:t>q</w:t>
      </w:r>
      <w:r>
        <w:rPr>
          <w:rFonts w:ascii="宋体" w:hAnsi="宋体"/>
          <w:color w:val="000000"/>
        </w:rPr>
        <w:t>处种子无氧呼吸比有氧呼吸分解的葡萄糖多</w:t>
      </w:r>
    </w:p>
    <w:p w14:paraId="14E84BCD" w14:textId="77777777" w:rsidR="006A50FF" w:rsidRDefault="00000000">
      <w:pPr>
        <w:spacing w:line="360" w:lineRule="auto"/>
        <w:jc w:val="left"/>
        <w:textAlignment w:val="center"/>
        <w:rPr>
          <w:color w:val="000000"/>
        </w:rPr>
      </w:pPr>
      <w:r>
        <w:rPr>
          <w:color w:val="000000"/>
        </w:rPr>
        <w:t xml:space="preserve">17. </w:t>
      </w:r>
      <w:r>
        <w:rPr>
          <w:rFonts w:ascii="宋体" w:hAnsi="宋体"/>
          <w:color w:val="000000"/>
        </w:rPr>
        <w:t>果蝇的直翅、弯翅受</w:t>
      </w:r>
      <w:r>
        <w:rPr>
          <w:rFonts w:eastAsia="Times New Roman" w:cs="Times New Roman"/>
          <w:color w:val="000000"/>
        </w:rPr>
        <w:t>Ⅳ</w:t>
      </w:r>
      <w:r>
        <w:rPr>
          <w:rFonts w:ascii="宋体" w:hAnsi="宋体"/>
          <w:color w:val="000000"/>
        </w:rPr>
        <w:t>号常染色体上的等位基因</w:t>
      </w:r>
      <w:r>
        <w:rPr>
          <w:rFonts w:eastAsia="Times New Roman" w:cs="Times New Roman"/>
          <w:color w:val="000000"/>
        </w:rPr>
        <w:t>A</w:t>
      </w:r>
      <w:r>
        <w:rPr>
          <w:rFonts w:ascii="宋体" w:hAnsi="宋体"/>
          <w:color w:val="000000"/>
        </w:rPr>
        <w:t>、</w:t>
      </w:r>
      <w:r>
        <w:rPr>
          <w:rFonts w:eastAsia="Times New Roman" w:cs="Times New Roman"/>
          <w:color w:val="000000"/>
        </w:rPr>
        <w:t>a</w:t>
      </w:r>
      <w:r>
        <w:rPr>
          <w:rFonts w:ascii="宋体" w:hAnsi="宋体"/>
          <w:color w:val="000000"/>
        </w:rPr>
        <w:t>控制。现有</w:t>
      </w:r>
      <w:r>
        <w:rPr>
          <w:rFonts w:ascii="宋体" w:hAnsi="宋体"/>
          <w:color w:val="000000"/>
        </w:rPr>
        <w:lastRenderedPageBreak/>
        <w:t>甲、乙</w:t>
      </w:r>
      <w:r>
        <w:rPr>
          <w:rFonts w:eastAsia="Times New Roman" w:cs="Times New Roman"/>
          <w:color w:val="000000"/>
        </w:rPr>
        <w:t>2</w:t>
      </w:r>
      <w:r>
        <w:rPr>
          <w:rFonts w:ascii="宋体" w:hAnsi="宋体"/>
          <w:color w:val="000000"/>
        </w:rPr>
        <w:t>只都只含</w:t>
      </w:r>
      <w:r>
        <w:rPr>
          <w:rFonts w:eastAsia="Times New Roman" w:cs="Times New Roman"/>
          <w:color w:val="000000"/>
        </w:rPr>
        <w:t>7</w:t>
      </w:r>
      <w:r>
        <w:rPr>
          <w:rFonts w:ascii="宋体" w:hAnsi="宋体"/>
          <w:color w:val="000000"/>
        </w:rPr>
        <w:t>条染色体的直翅雄果蝇，产生原因都是</w:t>
      </w:r>
      <w:r>
        <w:rPr>
          <w:rFonts w:eastAsia="Times New Roman" w:cs="Times New Roman"/>
          <w:color w:val="000000"/>
        </w:rPr>
        <w:t>Ⅳ</w:t>
      </w:r>
      <w:r>
        <w:rPr>
          <w:rFonts w:ascii="宋体" w:hAnsi="宋体"/>
          <w:color w:val="000000"/>
        </w:rPr>
        <w:t>号常染色体中的</w:t>
      </w:r>
      <w:r>
        <w:rPr>
          <w:rFonts w:eastAsia="Times New Roman" w:cs="Times New Roman"/>
          <w:color w:val="000000"/>
        </w:rPr>
        <w:t>1</w:t>
      </w:r>
      <w:r>
        <w:rPr>
          <w:rFonts w:ascii="宋体" w:hAnsi="宋体"/>
          <w:color w:val="000000"/>
        </w:rPr>
        <w:t>条移接到某条非同源染色体末端，且移接的</w:t>
      </w:r>
      <w:r>
        <w:rPr>
          <w:rFonts w:eastAsia="Times New Roman" w:cs="Times New Roman"/>
          <w:color w:val="000000"/>
        </w:rPr>
        <w:t>Ⅳ</w:t>
      </w:r>
      <w:r>
        <w:rPr>
          <w:rFonts w:ascii="宋体" w:hAnsi="宋体"/>
          <w:color w:val="000000"/>
        </w:rPr>
        <w:t>号常染色体着丝粒丢失。为探究</w:t>
      </w:r>
      <w:r>
        <w:rPr>
          <w:rFonts w:eastAsia="Times New Roman" w:cs="Times New Roman"/>
          <w:color w:val="000000"/>
        </w:rPr>
        <w:t>Ⅳ</w:t>
      </w:r>
      <w:r>
        <w:rPr>
          <w:rFonts w:ascii="宋体" w:hAnsi="宋体"/>
          <w:color w:val="000000"/>
        </w:rPr>
        <w:t>号常染色体移接情况，进行了如表所示的杂交实验。已知甲、乙在减数分裂时，未移接的</w:t>
      </w:r>
      <w:r>
        <w:rPr>
          <w:rFonts w:eastAsia="Times New Roman" w:cs="Times New Roman"/>
          <w:color w:val="000000"/>
        </w:rPr>
        <w:t>Ⅳ</w:t>
      </w:r>
      <w:r>
        <w:rPr>
          <w:rFonts w:ascii="宋体" w:hAnsi="宋体"/>
          <w:color w:val="000000"/>
        </w:rPr>
        <w:t>号常染色体随机移向一极；配子和个体的存活力都正常。不考虑其他突变和染色体互换，下列推断正确的是（　　）</w:t>
      </w:r>
    </w:p>
    <w:tbl>
      <w:tblPr>
        <w:tblW w:w="82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firstRow="1" w:lastRow="0" w:firstColumn="1" w:lastColumn="0" w:noHBand="0" w:noVBand="1"/>
      </w:tblPr>
      <w:tblGrid>
        <w:gridCol w:w="8295"/>
      </w:tblGrid>
      <w:tr w:rsidR="006A50FF" w14:paraId="496A4BA8" w14:textId="77777777">
        <w:trPr>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EB0A302" w14:textId="77777777" w:rsidR="006A50FF" w:rsidRDefault="00000000">
            <w:pPr>
              <w:spacing w:line="360" w:lineRule="auto"/>
              <w:jc w:val="left"/>
              <w:textAlignment w:val="center"/>
              <w:rPr>
                <w:color w:val="000000"/>
              </w:rPr>
            </w:pPr>
            <w:r>
              <w:rPr>
                <w:rFonts w:ascii="宋体" w:hAnsi="宋体"/>
                <w:color w:val="000000"/>
              </w:rPr>
              <w:t>实验</w:t>
            </w:r>
            <w:r>
              <w:rPr>
                <w:rFonts w:eastAsia="Times New Roman" w:cs="Times New Roman"/>
                <w:color w:val="000000"/>
              </w:rPr>
              <w:t>①</w:t>
            </w:r>
            <w:r>
              <w:rPr>
                <w:rFonts w:ascii="宋体" w:hAnsi="宋体"/>
                <w:color w:val="000000"/>
              </w:rPr>
              <w:t>：甲</w:t>
            </w:r>
            <w:r>
              <w:rPr>
                <w:rFonts w:eastAsia="Times New Roman" w:cs="Times New Roman"/>
                <w:color w:val="000000"/>
              </w:rPr>
              <w:t>×</w:t>
            </w:r>
            <w:r>
              <w:rPr>
                <w:rFonts w:ascii="宋体" w:hAnsi="宋体"/>
                <w:color w:val="000000"/>
              </w:rPr>
              <w:t>正常雌果蝇</w:t>
            </w:r>
            <w:r>
              <w:rPr>
                <w:rFonts w:eastAsia="Times New Roman" w:cs="Times New Roman"/>
                <w:color w:val="000000"/>
              </w:rPr>
              <w:t>→F</w:t>
            </w:r>
            <w:r>
              <w:rPr>
                <w:color w:val="000000"/>
                <w:vertAlign w:val="subscript"/>
              </w:rPr>
              <w:t>1</w:t>
            </w:r>
            <w:r>
              <w:rPr>
                <w:rFonts w:ascii="宋体" w:hAnsi="宋体"/>
                <w:color w:val="000000"/>
              </w:rPr>
              <w:t>中直翅∶弯翅</w:t>
            </w:r>
            <w:r>
              <w:rPr>
                <w:rFonts w:eastAsia="Times New Roman" w:cs="Times New Roman"/>
                <w:color w:val="000000"/>
              </w:rPr>
              <w:t>=7</w:t>
            </w:r>
            <w:r>
              <w:rPr>
                <w:rFonts w:ascii="宋体" w:hAnsi="宋体"/>
                <w:color w:val="000000"/>
              </w:rPr>
              <w:t>∶</w:t>
            </w:r>
            <w:r>
              <w:rPr>
                <w:rFonts w:eastAsia="Times New Roman" w:cs="Times New Roman"/>
                <w:color w:val="000000"/>
              </w:rPr>
              <w:t>1</w:t>
            </w:r>
            <w:r>
              <w:rPr>
                <w:rFonts w:ascii="宋体" w:hAnsi="宋体"/>
                <w:color w:val="000000"/>
              </w:rPr>
              <w:t>，且雄果蝇群体中的直翅∶弯翅</w:t>
            </w:r>
            <w:r>
              <w:rPr>
                <w:rFonts w:eastAsia="Times New Roman" w:cs="Times New Roman"/>
                <w:color w:val="000000"/>
              </w:rPr>
              <w:t>=3</w:t>
            </w:r>
            <w:r>
              <w:rPr>
                <w:rFonts w:ascii="宋体" w:hAnsi="宋体"/>
                <w:color w:val="000000"/>
              </w:rPr>
              <w:t>∶</w:t>
            </w:r>
            <w:r>
              <w:rPr>
                <w:rFonts w:eastAsia="Times New Roman" w:cs="Times New Roman"/>
                <w:color w:val="000000"/>
              </w:rPr>
              <w:t>1</w:t>
            </w:r>
          </w:p>
        </w:tc>
      </w:tr>
      <w:tr w:rsidR="006A50FF" w14:paraId="31DE34DB" w14:textId="77777777">
        <w:trPr>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DE55443" w14:textId="77777777" w:rsidR="006A50FF" w:rsidRDefault="00000000">
            <w:pPr>
              <w:spacing w:line="360" w:lineRule="auto"/>
              <w:jc w:val="left"/>
              <w:textAlignment w:val="center"/>
              <w:rPr>
                <w:color w:val="000000"/>
              </w:rPr>
            </w:pPr>
            <w:r>
              <w:rPr>
                <w:rFonts w:ascii="宋体" w:hAnsi="宋体"/>
                <w:color w:val="000000"/>
              </w:rPr>
              <w:t>实验</w:t>
            </w:r>
            <w:r>
              <w:rPr>
                <w:rFonts w:eastAsia="Times New Roman" w:cs="Times New Roman"/>
                <w:color w:val="000000"/>
              </w:rPr>
              <w:t>②</w:t>
            </w:r>
            <w:r>
              <w:rPr>
                <w:rFonts w:ascii="宋体" w:hAnsi="宋体"/>
                <w:color w:val="000000"/>
              </w:rPr>
              <w:t>：乙</w:t>
            </w:r>
            <w:r>
              <w:rPr>
                <w:rFonts w:eastAsia="Times New Roman" w:cs="Times New Roman"/>
                <w:color w:val="000000"/>
              </w:rPr>
              <w:t>×</w:t>
            </w:r>
            <w:r>
              <w:rPr>
                <w:rFonts w:ascii="宋体" w:hAnsi="宋体"/>
                <w:color w:val="000000"/>
              </w:rPr>
              <w:t>正常雌果蝇</w:t>
            </w:r>
            <w:r>
              <w:rPr>
                <w:rFonts w:eastAsia="Times New Roman" w:cs="Times New Roman"/>
                <w:color w:val="000000"/>
              </w:rPr>
              <w:t>→F</w:t>
            </w:r>
            <w:r>
              <w:rPr>
                <w:color w:val="000000"/>
                <w:vertAlign w:val="subscript"/>
              </w:rPr>
              <w:t>1</w:t>
            </w:r>
            <w:r>
              <w:rPr>
                <w:rFonts w:ascii="宋体" w:hAnsi="宋体"/>
                <w:color w:val="000000"/>
              </w:rPr>
              <w:t>中直翅∶弯翅</w:t>
            </w:r>
            <w:r>
              <w:rPr>
                <w:rFonts w:eastAsia="Times New Roman" w:cs="Times New Roman"/>
                <w:color w:val="000000"/>
              </w:rPr>
              <w:t>=3</w:t>
            </w:r>
            <w:r>
              <w:rPr>
                <w:rFonts w:ascii="宋体" w:hAnsi="宋体"/>
                <w:color w:val="000000"/>
              </w:rPr>
              <w:t>∶</w:t>
            </w:r>
            <w:r>
              <w:rPr>
                <w:rFonts w:eastAsia="Times New Roman" w:cs="Times New Roman"/>
                <w:color w:val="000000"/>
              </w:rPr>
              <w:t>1</w:t>
            </w:r>
            <w:r>
              <w:rPr>
                <w:rFonts w:ascii="宋体" w:hAnsi="宋体"/>
                <w:color w:val="000000"/>
              </w:rPr>
              <w:t>，且直翅和弯翅群体中的雌雄比都是</w:t>
            </w:r>
            <w:r>
              <w:rPr>
                <w:rFonts w:eastAsia="Times New Roman" w:cs="Times New Roman"/>
                <w:color w:val="000000"/>
              </w:rPr>
              <w:t>1</w:t>
            </w:r>
            <w:r>
              <w:rPr>
                <w:rFonts w:ascii="宋体" w:hAnsi="宋体"/>
                <w:color w:val="000000"/>
              </w:rPr>
              <w:t>∶</w:t>
            </w:r>
            <w:r>
              <w:rPr>
                <w:rFonts w:eastAsia="Times New Roman" w:cs="Times New Roman"/>
                <w:color w:val="000000"/>
              </w:rPr>
              <w:t>1</w:t>
            </w:r>
          </w:p>
        </w:tc>
      </w:tr>
    </w:tbl>
    <w:p w14:paraId="349E76F9" w14:textId="77777777" w:rsidR="006A50FF" w:rsidRDefault="006A50FF">
      <w:pPr>
        <w:spacing w:line="360" w:lineRule="auto"/>
        <w:jc w:val="left"/>
        <w:textAlignment w:val="center"/>
        <w:rPr>
          <w:color w:val="000000"/>
        </w:rPr>
      </w:pPr>
    </w:p>
    <w:p w14:paraId="3E46F7E3" w14:textId="77777777" w:rsidR="006A50FF" w:rsidRDefault="00000000">
      <w:pPr>
        <w:spacing w:line="360" w:lineRule="auto"/>
        <w:jc w:val="left"/>
        <w:textAlignment w:val="center"/>
        <w:rPr>
          <w:color w:val="000000"/>
        </w:rPr>
      </w:pPr>
      <w:r>
        <w:rPr>
          <w:color w:val="000000"/>
        </w:rPr>
        <w:t xml:space="preserve">A. </w:t>
      </w:r>
      <w:r>
        <w:rPr>
          <w:rFonts w:eastAsia="Times New Roman" w:cs="Times New Roman"/>
          <w:color w:val="000000"/>
        </w:rPr>
        <w:t>①</w:t>
      </w:r>
      <w:r>
        <w:rPr>
          <w:rFonts w:ascii="宋体" w:hAnsi="宋体"/>
          <w:color w:val="000000"/>
        </w:rPr>
        <w:t>中亲本雌果蝇的基因型一定为</w:t>
      </w:r>
      <w:r>
        <w:rPr>
          <w:rFonts w:eastAsia="Times New Roman" w:cs="Times New Roman"/>
          <w:color w:val="000000"/>
        </w:rPr>
        <w:t>Aa</w:t>
      </w:r>
    </w:p>
    <w:p w14:paraId="43A0999B" w14:textId="77777777" w:rsidR="006A50FF" w:rsidRDefault="00000000">
      <w:pPr>
        <w:spacing w:line="360" w:lineRule="auto"/>
        <w:jc w:val="left"/>
        <w:textAlignment w:val="center"/>
        <w:rPr>
          <w:color w:val="000000"/>
        </w:rPr>
      </w:pPr>
      <w:r>
        <w:rPr>
          <w:color w:val="000000"/>
        </w:rPr>
        <w:t xml:space="preserve">B. </w:t>
      </w:r>
      <w:r>
        <w:rPr>
          <w:rFonts w:eastAsia="Times New Roman" w:cs="Times New Roman"/>
          <w:color w:val="000000"/>
        </w:rPr>
        <w:t>②</w:t>
      </w:r>
      <w:r>
        <w:rPr>
          <w:rFonts w:ascii="宋体" w:hAnsi="宋体"/>
          <w:color w:val="000000"/>
        </w:rPr>
        <w:t>中亲本雌果蝇的基因型一定为</w:t>
      </w:r>
      <w:r>
        <w:rPr>
          <w:rFonts w:eastAsia="Times New Roman" w:cs="Times New Roman"/>
          <w:color w:val="000000"/>
        </w:rPr>
        <w:t>aa</w:t>
      </w:r>
    </w:p>
    <w:p w14:paraId="0331967F" w14:textId="77777777" w:rsidR="006A50FF" w:rsidRDefault="00000000">
      <w:pPr>
        <w:spacing w:line="360" w:lineRule="auto"/>
        <w:jc w:val="left"/>
        <w:textAlignment w:val="center"/>
        <w:rPr>
          <w:color w:val="000000"/>
        </w:rPr>
      </w:pPr>
      <w:r>
        <w:rPr>
          <w:color w:val="000000"/>
        </w:rPr>
        <w:t xml:space="preserve">C. </w:t>
      </w:r>
      <w:r>
        <w:rPr>
          <w:rFonts w:ascii="宋体" w:hAnsi="宋体"/>
          <w:color w:val="000000"/>
        </w:rPr>
        <w:t>甲中含基因</w:t>
      </w:r>
      <w:r>
        <w:rPr>
          <w:rFonts w:eastAsia="Times New Roman" w:cs="Times New Roman"/>
          <w:color w:val="000000"/>
        </w:rPr>
        <w:t>A</w:t>
      </w:r>
      <w:r>
        <w:rPr>
          <w:rFonts w:ascii="宋体" w:hAnsi="宋体"/>
          <w:color w:val="000000"/>
        </w:rPr>
        <w:t>的</w:t>
      </w:r>
      <w:r>
        <w:rPr>
          <w:rFonts w:eastAsia="Times New Roman" w:cs="Times New Roman"/>
          <w:color w:val="000000"/>
        </w:rPr>
        <w:t>1</w:t>
      </w:r>
      <w:r>
        <w:rPr>
          <w:rFonts w:ascii="宋体" w:hAnsi="宋体"/>
          <w:color w:val="000000"/>
        </w:rPr>
        <w:t>条染色体一定移接到</w:t>
      </w:r>
      <w:r>
        <w:rPr>
          <w:rFonts w:eastAsia="Times New Roman" w:cs="Times New Roman"/>
          <w:color w:val="000000"/>
        </w:rPr>
        <w:t>X</w:t>
      </w:r>
      <w:r>
        <w:rPr>
          <w:rFonts w:ascii="宋体" w:hAnsi="宋体"/>
          <w:color w:val="000000"/>
        </w:rPr>
        <w:t>染色体末端</w:t>
      </w:r>
    </w:p>
    <w:p w14:paraId="206728AE" w14:textId="77777777" w:rsidR="006A50FF" w:rsidRDefault="00000000">
      <w:pPr>
        <w:spacing w:line="360" w:lineRule="auto"/>
        <w:jc w:val="left"/>
        <w:textAlignment w:val="center"/>
        <w:rPr>
          <w:color w:val="000000"/>
        </w:rPr>
      </w:pPr>
      <w:r>
        <w:rPr>
          <w:color w:val="000000"/>
        </w:rPr>
        <w:t xml:space="preserve">D. </w:t>
      </w:r>
      <w:r>
        <w:rPr>
          <w:rFonts w:ascii="宋体" w:hAnsi="宋体"/>
          <w:color w:val="000000"/>
        </w:rPr>
        <w:t>乙中含基因</w:t>
      </w:r>
      <w:r>
        <w:rPr>
          <w:rFonts w:eastAsia="Times New Roman" w:cs="Times New Roman"/>
          <w:color w:val="000000"/>
        </w:rPr>
        <w:t>A</w:t>
      </w:r>
      <w:r>
        <w:rPr>
          <w:rFonts w:ascii="宋体" w:hAnsi="宋体"/>
          <w:color w:val="000000"/>
        </w:rPr>
        <w:t>的</w:t>
      </w:r>
      <w:r>
        <w:rPr>
          <w:rFonts w:eastAsia="Times New Roman" w:cs="Times New Roman"/>
          <w:color w:val="000000"/>
        </w:rPr>
        <w:t>1</w:t>
      </w:r>
      <w:r>
        <w:rPr>
          <w:rFonts w:ascii="宋体" w:hAnsi="宋体"/>
          <w:color w:val="000000"/>
        </w:rPr>
        <w:t>条染色体一定移接到</w:t>
      </w:r>
      <w:r>
        <w:rPr>
          <w:rFonts w:eastAsia="Times New Roman" w:cs="Times New Roman"/>
          <w:color w:val="000000"/>
        </w:rPr>
        <w:t>X</w:t>
      </w:r>
      <w:r>
        <w:rPr>
          <w:rFonts w:ascii="宋体" w:hAnsi="宋体"/>
          <w:color w:val="000000"/>
        </w:rPr>
        <w:t>染色体末端</w:t>
      </w:r>
    </w:p>
    <w:p w14:paraId="30906AF0" w14:textId="77777777" w:rsidR="006A50FF" w:rsidRDefault="00000000">
      <w:pPr>
        <w:spacing w:line="360" w:lineRule="auto"/>
        <w:jc w:val="left"/>
        <w:textAlignment w:val="center"/>
        <w:rPr>
          <w:color w:val="000000"/>
        </w:rPr>
      </w:pPr>
      <w:r>
        <w:rPr>
          <w:color w:val="000000"/>
        </w:rPr>
        <w:t xml:space="preserve">18. </w:t>
      </w:r>
      <w:r>
        <w:rPr>
          <w:rFonts w:ascii="宋体" w:hAnsi="宋体"/>
          <w:color w:val="000000"/>
        </w:rPr>
        <w:t>种群增长率等于出生率减死亡率。不同物种的甲、乙种群在一段时间内的增长率与种群密度的关系如图所示。已知随时间推移种群密度逐渐增加，</w:t>
      </w:r>
      <w:r>
        <w:rPr>
          <w:rFonts w:eastAsia="Times New Roman" w:cs="Times New Roman"/>
          <w:color w:val="000000"/>
        </w:rPr>
        <w:t>a</w:t>
      </w:r>
      <w:r>
        <w:rPr>
          <w:rFonts w:ascii="宋体" w:hAnsi="宋体"/>
          <w:color w:val="000000"/>
        </w:rPr>
        <w:t>为种群延续所需的最小种群数量所对应的种群密度；甲、乙中有一个种群个体间存在共同抵御天敌等种内互助。下列说法正确的是（　　）</w:t>
      </w:r>
    </w:p>
    <w:p w14:paraId="2F634DDC" w14:textId="77777777" w:rsidR="006A50FF" w:rsidRDefault="00000000">
      <w:pPr>
        <w:spacing w:line="360" w:lineRule="auto"/>
        <w:jc w:val="center"/>
        <w:textAlignment w:val="center"/>
        <w:rPr>
          <w:color w:val="000000"/>
        </w:rPr>
      </w:pPr>
      <w:r>
        <w:rPr>
          <w:noProof/>
          <w:color w:val="000000"/>
        </w:rPr>
        <w:drawing>
          <wp:inline distT="0" distB="0" distL="114300" distR="114300" wp14:anchorId="30C3B722" wp14:editId="5F5553F0">
            <wp:extent cx="2914650" cy="2133600"/>
            <wp:effectExtent l="0" t="0" r="0" b="0"/>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r:embed="rId11"/>
                    <a:stretch>
                      <a:fillRect/>
                    </a:stretch>
                  </pic:blipFill>
                  <pic:spPr>
                    <a:xfrm>
                      <a:off x="0" y="0"/>
                      <a:ext cx="2914650" cy="2133600"/>
                    </a:xfrm>
                    <a:prstGeom prst="rect">
                      <a:avLst/>
                    </a:prstGeom>
                  </pic:spPr>
                </pic:pic>
              </a:graphicData>
            </a:graphic>
          </wp:inline>
        </w:drawing>
      </w:r>
    </w:p>
    <w:p w14:paraId="0FAEAE24" w14:textId="77777777" w:rsidR="006A50FF" w:rsidRDefault="00000000">
      <w:pPr>
        <w:spacing w:line="360" w:lineRule="auto"/>
        <w:jc w:val="left"/>
        <w:textAlignment w:val="center"/>
        <w:rPr>
          <w:color w:val="000000"/>
        </w:rPr>
      </w:pPr>
      <w:r>
        <w:rPr>
          <w:color w:val="000000"/>
        </w:rPr>
        <w:t xml:space="preserve">A. </w:t>
      </w:r>
      <w:r>
        <w:rPr>
          <w:rFonts w:ascii="宋体" w:hAnsi="宋体"/>
          <w:color w:val="000000"/>
        </w:rPr>
        <w:t>乙种群存</w:t>
      </w:r>
      <w:r>
        <w:rPr>
          <w:rFonts w:ascii="宋体" w:hAnsi="宋体"/>
          <w:noProof/>
          <w:color w:val="000000"/>
          <w:position w:val="-1"/>
        </w:rPr>
        <w:drawing>
          <wp:inline distT="0" distB="0" distL="114300" distR="114300" wp14:anchorId="67820E0E" wp14:editId="03621032">
            <wp:extent cx="139700" cy="190500"/>
            <wp:effectExtent l="0" t="0" r="12700" b="0"/>
            <wp:docPr id="100031" name="图片 100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pic:cNvPicPr>
                      <a:picLocks noChangeAspect="1"/>
                    </pic:cNvPicPr>
                  </pic:nvPicPr>
                  <pic:blipFill>
                    <a:blip r:embed="rId12"/>
                    <a:stretch>
                      <a:fillRect/>
                    </a:stretch>
                  </pic:blipFill>
                  <pic:spPr>
                    <a:xfrm>
                      <a:off x="0" y="0"/>
                      <a:ext cx="139700" cy="190500"/>
                    </a:xfrm>
                    <a:prstGeom prst="rect">
                      <a:avLst/>
                    </a:prstGeom>
                  </pic:spPr>
                </pic:pic>
              </a:graphicData>
            </a:graphic>
          </wp:inline>
        </w:drawing>
      </w:r>
      <w:r>
        <w:rPr>
          <w:rFonts w:ascii="宋体" w:hAnsi="宋体"/>
          <w:color w:val="000000"/>
        </w:rPr>
        <w:t>种内互助</w:t>
      </w:r>
    </w:p>
    <w:p w14:paraId="3B5B5DEA" w14:textId="77777777" w:rsidR="006A50FF" w:rsidRDefault="00000000">
      <w:pPr>
        <w:spacing w:line="360" w:lineRule="auto"/>
        <w:jc w:val="left"/>
        <w:textAlignment w:val="center"/>
        <w:rPr>
          <w:color w:val="000000"/>
        </w:rPr>
      </w:pPr>
      <w:r>
        <w:rPr>
          <w:color w:val="000000"/>
        </w:rPr>
        <w:t xml:space="preserve">B. </w:t>
      </w:r>
      <w:r>
        <w:rPr>
          <w:rFonts w:ascii="宋体" w:hAnsi="宋体"/>
          <w:color w:val="000000"/>
        </w:rPr>
        <w:t>由</w:t>
      </w:r>
      <w:r>
        <w:rPr>
          <w:rFonts w:eastAsia="Times New Roman" w:cs="Times New Roman"/>
          <w:color w:val="000000"/>
        </w:rPr>
        <w:t>a</w:t>
      </w:r>
      <w:r>
        <w:rPr>
          <w:rFonts w:ascii="宋体" w:hAnsi="宋体"/>
          <w:color w:val="000000"/>
        </w:rPr>
        <w:t>至</w:t>
      </w:r>
      <w:r>
        <w:rPr>
          <w:rFonts w:eastAsia="Times New Roman" w:cs="Times New Roman"/>
          <w:color w:val="000000"/>
        </w:rPr>
        <w:t>c</w:t>
      </w:r>
      <w:r>
        <w:rPr>
          <w:rFonts w:ascii="宋体" w:hAnsi="宋体"/>
          <w:color w:val="000000"/>
        </w:rPr>
        <w:t>，乙种群单位时间内增加的个体数逐渐增多</w:t>
      </w:r>
    </w:p>
    <w:p w14:paraId="3B2EB4BF" w14:textId="77777777" w:rsidR="006A50FF" w:rsidRDefault="00000000">
      <w:pPr>
        <w:spacing w:line="360" w:lineRule="auto"/>
        <w:jc w:val="left"/>
        <w:textAlignment w:val="center"/>
        <w:rPr>
          <w:color w:val="000000"/>
        </w:rPr>
      </w:pPr>
      <w:r>
        <w:rPr>
          <w:color w:val="000000"/>
        </w:rPr>
        <w:t xml:space="preserve">C. </w:t>
      </w:r>
      <w:r>
        <w:rPr>
          <w:rFonts w:ascii="宋体" w:hAnsi="宋体"/>
          <w:color w:val="000000"/>
        </w:rPr>
        <w:t>由</w:t>
      </w:r>
      <w:r>
        <w:rPr>
          <w:rFonts w:eastAsia="Times New Roman" w:cs="Times New Roman"/>
          <w:color w:val="000000"/>
        </w:rPr>
        <w:t>a</w:t>
      </w:r>
      <w:r>
        <w:rPr>
          <w:rFonts w:ascii="宋体" w:hAnsi="宋体"/>
          <w:color w:val="000000"/>
        </w:rPr>
        <w:t>至</w:t>
      </w:r>
      <w:r>
        <w:rPr>
          <w:rFonts w:eastAsia="Times New Roman" w:cs="Times New Roman"/>
          <w:color w:val="000000"/>
        </w:rPr>
        <w:t>c</w:t>
      </w:r>
      <w:r>
        <w:rPr>
          <w:rFonts w:ascii="宋体" w:hAnsi="宋体"/>
          <w:color w:val="000000"/>
        </w:rPr>
        <w:t>，乙种群的数量增长曲线呈“</w:t>
      </w:r>
      <w:r>
        <w:rPr>
          <w:rFonts w:eastAsia="Times New Roman" w:cs="Times New Roman"/>
          <w:color w:val="000000"/>
        </w:rPr>
        <w:t>S</w:t>
      </w:r>
      <w:r>
        <w:rPr>
          <w:rFonts w:ascii="宋体" w:hAnsi="宋体"/>
          <w:color w:val="000000"/>
        </w:rPr>
        <w:t>”形</w:t>
      </w:r>
    </w:p>
    <w:p w14:paraId="09D8DBF5" w14:textId="77777777" w:rsidR="006A50FF" w:rsidRDefault="00000000">
      <w:pPr>
        <w:spacing w:line="360" w:lineRule="auto"/>
        <w:jc w:val="left"/>
        <w:textAlignment w:val="center"/>
        <w:rPr>
          <w:color w:val="000000"/>
        </w:rPr>
      </w:pPr>
      <w:r>
        <w:rPr>
          <w:color w:val="000000"/>
        </w:rPr>
        <w:lastRenderedPageBreak/>
        <w:t xml:space="preserve">D. </w:t>
      </w:r>
      <w:r>
        <w:rPr>
          <w:rFonts w:eastAsia="Times New Roman" w:cs="Times New Roman"/>
          <w:color w:val="000000"/>
        </w:rPr>
        <w:t>a</w:t>
      </w:r>
      <w:r>
        <w:rPr>
          <w:rFonts w:ascii="宋体" w:hAnsi="宋体"/>
          <w:color w:val="000000"/>
        </w:rPr>
        <w:t>至</w:t>
      </w:r>
      <w:r>
        <w:rPr>
          <w:rFonts w:eastAsia="Times New Roman" w:cs="Times New Roman"/>
          <w:color w:val="000000"/>
        </w:rPr>
        <w:t>b</w:t>
      </w:r>
      <w:r>
        <w:rPr>
          <w:rFonts w:ascii="宋体" w:hAnsi="宋体"/>
          <w:color w:val="000000"/>
        </w:rPr>
        <w:t>阶段，甲种群的年龄结构为衰退型</w:t>
      </w:r>
    </w:p>
    <w:p w14:paraId="5F7AEDF0" w14:textId="77777777" w:rsidR="006A50FF" w:rsidRDefault="00000000">
      <w:pPr>
        <w:spacing w:line="360" w:lineRule="auto"/>
        <w:jc w:val="left"/>
        <w:textAlignment w:val="center"/>
        <w:rPr>
          <w:color w:val="000000"/>
        </w:rPr>
      </w:pPr>
      <w:r>
        <w:rPr>
          <w:color w:val="000000"/>
        </w:rPr>
        <w:t xml:space="preserve">19. </w:t>
      </w:r>
      <w:r>
        <w:rPr>
          <w:rFonts w:ascii="宋体" w:hAnsi="宋体"/>
          <w:color w:val="000000"/>
        </w:rPr>
        <w:t>瞳孔开大肌是分布于眼睛瞳孔周围的肌肉，只受自主神经系统支配。当抓捏面部皮肤时，会引起瞳孔开大肌收缩，导致瞳孔扩张，该反射称为瞳孔皮肤反射，其反射通路如图所示，其中网状脊髓束是位于脑干和脊髓中的神经纤维束。下列说法错误的是（　　）</w:t>
      </w:r>
    </w:p>
    <w:p w14:paraId="0A070946" w14:textId="77777777" w:rsidR="006A50FF" w:rsidRDefault="00000000">
      <w:pPr>
        <w:spacing w:line="360" w:lineRule="auto"/>
        <w:jc w:val="left"/>
        <w:textAlignment w:val="center"/>
        <w:rPr>
          <w:color w:val="000000"/>
        </w:rPr>
      </w:pPr>
      <w:r>
        <w:rPr>
          <w:rFonts w:ascii="宋体" w:hAnsi="宋体"/>
          <w:color w:val="000000"/>
        </w:rPr>
        <w:t>面部皮肤感受器→传入神经①→脑干→网状脊髓束→脊髓（胸段）→传出神经②→瞳孔开大肌</w:t>
      </w:r>
    </w:p>
    <w:p w14:paraId="4AFB8A49" w14:textId="77777777" w:rsidR="006A50FF" w:rsidRDefault="00000000">
      <w:pPr>
        <w:spacing w:line="360" w:lineRule="auto"/>
        <w:jc w:val="left"/>
        <w:textAlignment w:val="center"/>
        <w:rPr>
          <w:color w:val="000000"/>
        </w:rPr>
      </w:pPr>
      <w:r>
        <w:rPr>
          <w:color w:val="000000"/>
        </w:rPr>
        <w:t>A</w:t>
      </w:r>
      <w:r>
        <w:rPr>
          <w:noProof/>
          <w:color w:val="000000"/>
          <w:position w:val="-22"/>
        </w:rPr>
        <w:drawing>
          <wp:inline distT="0" distB="0" distL="114300" distR="114300" wp14:anchorId="64141139" wp14:editId="70E5A759">
            <wp:extent cx="31750" cy="88900"/>
            <wp:effectExtent l="0" t="0" r="0" b="0"/>
            <wp:docPr id="100025" name="图片 100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pic:cNvPicPr>
                      <a:picLocks noChangeAspect="1"/>
                    </pic:cNvPicPr>
                  </pic:nvPicPr>
                  <pic:blipFill>
                    <a:blip r:embed="rId13"/>
                    <a:stretch>
                      <a:fillRect/>
                    </a:stretch>
                  </pic:blipFill>
                  <pic:spPr>
                    <a:xfrm>
                      <a:off x="0" y="0"/>
                      <a:ext cx="31750" cy="88900"/>
                    </a:xfrm>
                    <a:prstGeom prst="rect">
                      <a:avLst/>
                    </a:prstGeom>
                  </pic:spPr>
                </pic:pic>
              </a:graphicData>
            </a:graphic>
          </wp:inline>
        </w:drawing>
      </w:r>
      <w:r>
        <w:rPr>
          <w:color w:val="000000"/>
        </w:rPr>
        <w:t xml:space="preserve"> </w:t>
      </w:r>
      <w:r>
        <w:rPr>
          <w:rFonts w:ascii="宋体" w:hAnsi="宋体"/>
          <w:color w:val="000000"/>
        </w:rPr>
        <w:t>该反射属于非条件反射</w:t>
      </w:r>
    </w:p>
    <w:p w14:paraId="2EF4F3C7" w14:textId="77777777" w:rsidR="006A50FF" w:rsidRDefault="00000000">
      <w:pPr>
        <w:spacing w:line="360" w:lineRule="auto"/>
        <w:jc w:val="left"/>
        <w:textAlignment w:val="center"/>
        <w:rPr>
          <w:color w:val="000000"/>
        </w:rPr>
      </w:pPr>
      <w:r>
        <w:rPr>
          <w:color w:val="000000"/>
        </w:rPr>
        <w:t xml:space="preserve">B. </w:t>
      </w:r>
      <w:r>
        <w:rPr>
          <w:rFonts w:ascii="宋体" w:hAnsi="宋体"/>
          <w:color w:val="000000"/>
        </w:rPr>
        <w:t>传入神经①属于脑神经</w:t>
      </w:r>
    </w:p>
    <w:p w14:paraId="0638EA4B" w14:textId="77777777" w:rsidR="006A50FF" w:rsidRDefault="00000000">
      <w:pPr>
        <w:spacing w:line="360" w:lineRule="auto"/>
        <w:jc w:val="left"/>
        <w:textAlignment w:val="center"/>
        <w:rPr>
          <w:color w:val="000000"/>
        </w:rPr>
      </w:pPr>
      <w:r>
        <w:rPr>
          <w:color w:val="000000"/>
        </w:rPr>
        <w:t xml:space="preserve">C. </w:t>
      </w:r>
      <w:r>
        <w:rPr>
          <w:rFonts w:ascii="宋体" w:hAnsi="宋体"/>
          <w:color w:val="000000"/>
        </w:rPr>
        <w:t>传出神经②属于躯体运动神经</w:t>
      </w:r>
    </w:p>
    <w:p w14:paraId="50810048" w14:textId="77777777" w:rsidR="006A50FF" w:rsidRDefault="00000000">
      <w:pPr>
        <w:spacing w:line="360" w:lineRule="auto"/>
        <w:jc w:val="left"/>
        <w:textAlignment w:val="center"/>
        <w:rPr>
          <w:color w:val="000000"/>
        </w:rPr>
      </w:pPr>
      <w:r>
        <w:rPr>
          <w:color w:val="000000"/>
        </w:rPr>
        <w:t xml:space="preserve">D. </w:t>
      </w:r>
      <w:r>
        <w:rPr>
          <w:rFonts w:ascii="宋体" w:hAnsi="宋体"/>
          <w:color w:val="000000"/>
        </w:rPr>
        <w:t>若完全阻断脊髓（颈段）中</w:t>
      </w:r>
      <w:r>
        <w:rPr>
          <w:rFonts w:ascii="宋体" w:hAnsi="宋体"/>
          <w:noProof/>
          <w:color w:val="000000"/>
        </w:rPr>
        <w:drawing>
          <wp:inline distT="0" distB="0" distL="114300" distR="114300" wp14:anchorId="3551F3E6" wp14:editId="24068E0E">
            <wp:extent cx="133350" cy="177800"/>
            <wp:effectExtent l="0" t="0" r="0" b="13335"/>
            <wp:docPr id="100029" name="图片 100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pic:cNvPicPr>
                      <a:picLocks noChangeAspect="1"/>
                    </pic:cNvPicPr>
                  </pic:nvPicPr>
                  <pic:blipFill>
                    <a:blip r:embed="rId14"/>
                    <a:stretch>
                      <a:fillRect/>
                    </a:stretch>
                  </pic:blipFill>
                  <pic:spPr>
                    <a:xfrm>
                      <a:off x="0" y="0"/>
                      <a:ext cx="133350" cy="177800"/>
                    </a:xfrm>
                    <a:prstGeom prst="rect">
                      <a:avLst/>
                    </a:prstGeom>
                  </pic:spPr>
                </pic:pic>
              </a:graphicData>
            </a:graphic>
          </wp:inline>
        </w:drawing>
      </w:r>
      <w:r>
        <w:rPr>
          <w:rFonts w:ascii="宋体" w:hAnsi="宋体"/>
          <w:color w:val="000000"/>
        </w:rPr>
        <w:t>网状脊髓束，该反射不能完成</w:t>
      </w:r>
    </w:p>
    <w:p w14:paraId="7FF4BD78" w14:textId="77777777" w:rsidR="006A50FF" w:rsidRDefault="00000000">
      <w:pPr>
        <w:spacing w:line="360" w:lineRule="auto"/>
        <w:jc w:val="left"/>
        <w:textAlignment w:val="center"/>
        <w:rPr>
          <w:color w:val="000000"/>
        </w:rPr>
      </w:pPr>
      <w:r>
        <w:rPr>
          <w:color w:val="000000"/>
        </w:rPr>
        <w:t xml:space="preserve">20. </w:t>
      </w:r>
      <w:r>
        <w:rPr>
          <w:rFonts w:ascii="宋体" w:hAnsi="宋体"/>
          <w:color w:val="000000"/>
        </w:rPr>
        <w:t>下列关于植物愈伤组织的说法正确的是（　　）</w:t>
      </w:r>
    </w:p>
    <w:p w14:paraId="6B159356" w14:textId="77777777" w:rsidR="006A50FF" w:rsidRDefault="00000000">
      <w:pPr>
        <w:spacing w:line="360" w:lineRule="auto"/>
        <w:jc w:val="left"/>
        <w:textAlignment w:val="center"/>
        <w:rPr>
          <w:color w:val="000000"/>
        </w:rPr>
      </w:pPr>
      <w:r>
        <w:rPr>
          <w:color w:val="000000"/>
        </w:rPr>
        <w:t xml:space="preserve">A. </w:t>
      </w:r>
      <w:r>
        <w:rPr>
          <w:rFonts w:ascii="宋体" w:hAnsi="宋体"/>
          <w:color w:val="000000"/>
        </w:rPr>
        <w:t>用果胶酶和胶原蛋白酶去除愈伤组织的细胞壁获得原生质体</w:t>
      </w:r>
    </w:p>
    <w:p w14:paraId="35C23611" w14:textId="77777777" w:rsidR="006A50FF" w:rsidRDefault="00000000">
      <w:pPr>
        <w:spacing w:line="360" w:lineRule="auto"/>
        <w:jc w:val="left"/>
        <w:textAlignment w:val="center"/>
        <w:rPr>
          <w:color w:val="000000"/>
        </w:rPr>
      </w:pPr>
      <w:r>
        <w:rPr>
          <w:color w:val="000000"/>
        </w:rPr>
        <w:t xml:space="preserve">B. </w:t>
      </w:r>
      <w:r>
        <w:rPr>
          <w:rFonts w:ascii="宋体" w:hAnsi="宋体"/>
          <w:color w:val="000000"/>
        </w:rPr>
        <w:t>融合的原生质体需再生出细胞壁后才能形成愈伤组织</w:t>
      </w:r>
    </w:p>
    <w:p w14:paraId="76A0EC56" w14:textId="77777777" w:rsidR="006A50FF" w:rsidRDefault="00000000">
      <w:pPr>
        <w:spacing w:line="360" w:lineRule="auto"/>
        <w:jc w:val="left"/>
        <w:textAlignment w:val="center"/>
        <w:rPr>
          <w:color w:val="000000"/>
        </w:rPr>
      </w:pPr>
      <w:r>
        <w:rPr>
          <w:color w:val="000000"/>
        </w:rPr>
        <w:t xml:space="preserve">C. </w:t>
      </w:r>
      <w:r>
        <w:rPr>
          <w:rFonts w:ascii="宋体" w:hAnsi="宋体"/>
          <w:color w:val="000000"/>
        </w:rPr>
        <w:t>体细胞杂交获得的杂种植株细胞中具有来自亲本的</w:t>
      </w:r>
      <w:r>
        <w:rPr>
          <w:rFonts w:eastAsia="Times New Roman" w:cs="Times New Roman"/>
          <w:color w:val="000000"/>
        </w:rPr>
        <w:t>2</w:t>
      </w:r>
      <w:r>
        <w:rPr>
          <w:rFonts w:ascii="宋体" w:hAnsi="宋体"/>
          <w:color w:val="000000"/>
        </w:rPr>
        <w:t>个细胞核</w:t>
      </w:r>
    </w:p>
    <w:p w14:paraId="169787FF" w14:textId="77777777" w:rsidR="006A50FF" w:rsidRDefault="00000000">
      <w:pPr>
        <w:spacing w:line="360" w:lineRule="auto"/>
        <w:jc w:val="left"/>
        <w:textAlignment w:val="center"/>
        <w:rPr>
          <w:color w:val="000000"/>
        </w:rPr>
      </w:pPr>
      <w:r>
        <w:rPr>
          <w:color w:val="000000"/>
        </w:rPr>
        <w:t xml:space="preserve">D. </w:t>
      </w:r>
      <w:r>
        <w:rPr>
          <w:rFonts w:ascii="宋体" w:hAnsi="宋体"/>
          <w:color w:val="000000"/>
        </w:rPr>
        <w:t>通过愈伤组织再生出多个完整植株的过程属于无性繁殖</w:t>
      </w:r>
    </w:p>
    <w:p w14:paraId="4E48F2B7" w14:textId="77777777" w:rsidR="006A50FF" w:rsidRDefault="00000000">
      <w:pPr>
        <w:spacing w:line="360" w:lineRule="auto"/>
        <w:jc w:val="left"/>
        <w:textAlignment w:val="center"/>
        <w:rPr>
          <w:color w:val="000000"/>
        </w:rPr>
      </w:pPr>
      <w:r>
        <w:rPr>
          <w:rFonts w:ascii="宋体" w:hAnsi="宋体"/>
          <w:b/>
          <w:color w:val="000000"/>
          <w:sz w:val="24"/>
        </w:rPr>
        <w:t>三、非选择题：本题共</w:t>
      </w:r>
      <w:r>
        <w:rPr>
          <w:rFonts w:eastAsia="Times New Roman" w:cs="Times New Roman"/>
          <w:b/>
          <w:color w:val="000000"/>
          <w:sz w:val="24"/>
        </w:rPr>
        <w:t>5</w:t>
      </w:r>
      <w:r>
        <w:rPr>
          <w:rFonts w:ascii="宋体" w:hAnsi="宋体"/>
          <w:b/>
          <w:color w:val="000000"/>
          <w:sz w:val="24"/>
        </w:rPr>
        <w:t>小题，共</w:t>
      </w:r>
      <w:r>
        <w:rPr>
          <w:rFonts w:eastAsia="Times New Roman" w:cs="Times New Roman"/>
          <w:b/>
          <w:color w:val="000000"/>
          <w:sz w:val="24"/>
        </w:rPr>
        <w:t>55</w:t>
      </w:r>
      <w:r>
        <w:rPr>
          <w:rFonts w:ascii="宋体" w:hAnsi="宋体"/>
          <w:b/>
          <w:color w:val="000000"/>
          <w:sz w:val="24"/>
        </w:rPr>
        <w:t>分。</w:t>
      </w:r>
    </w:p>
    <w:p w14:paraId="5F942F58" w14:textId="77777777" w:rsidR="006A50FF" w:rsidRDefault="00000000">
      <w:pPr>
        <w:spacing w:line="360" w:lineRule="auto"/>
        <w:jc w:val="left"/>
        <w:textAlignment w:val="center"/>
        <w:rPr>
          <w:color w:val="000000"/>
        </w:rPr>
      </w:pPr>
      <w:r>
        <w:rPr>
          <w:color w:val="000000"/>
        </w:rPr>
        <w:t xml:space="preserve">21. </w:t>
      </w:r>
      <w:r>
        <w:rPr>
          <w:rFonts w:ascii="宋体" w:hAnsi="宋体"/>
          <w:color w:val="000000"/>
        </w:rPr>
        <w:t>从开花至籽粒成熟，小麦叶片逐渐变黄。与野生型相比，某突变体叶片变黄的速度慢，籽粒淀粉含量低。研究发现，该突变体内细胞分裂素合成异常，进而影响了类囊体膜蛋白稳定性和蔗糖转化酶活性，而呼吸代谢不受影响。类囊体膜蛋白稳定性和蔗糖转化酶活性检测结果如图所示，开花</w:t>
      </w:r>
      <w:r>
        <w:rPr>
          <w:rFonts w:eastAsia="Times New Roman" w:cs="Times New Roman"/>
          <w:color w:val="000000"/>
        </w:rPr>
        <w:t>14</w:t>
      </w:r>
      <w:r>
        <w:rPr>
          <w:rFonts w:ascii="宋体" w:hAnsi="宋体"/>
          <w:color w:val="000000"/>
        </w:rPr>
        <w:t>天后植株的胞间</w:t>
      </w:r>
      <w:r>
        <w:rPr>
          <w:rFonts w:eastAsia="Times New Roman" w:cs="Times New Roman"/>
          <w:color w:val="000000"/>
        </w:rPr>
        <w:t>CO</w:t>
      </w:r>
      <w:r>
        <w:rPr>
          <w:color w:val="000000"/>
          <w:vertAlign w:val="subscript"/>
        </w:rPr>
        <w:t>2</w:t>
      </w:r>
      <w:r>
        <w:rPr>
          <w:rFonts w:ascii="宋体" w:hAnsi="宋体"/>
          <w:color w:val="000000"/>
        </w:rPr>
        <w:t>浓度和气孔导度如表所示，其中</w:t>
      </w:r>
      <w:r>
        <w:rPr>
          <w:rFonts w:eastAsia="Times New Roman" w:cs="Times New Roman"/>
          <w:color w:val="000000"/>
        </w:rPr>
        <w:t>Lov</w:t>
      </w:r>
      <w:r>
        <w:rPr>
          <w:rFonts w:ascii="宋体" w:hAnsi="宋体"/>
          <w:color w:val="000000"/>
        </w:rPr>
        <w:t>为细胞分裂素合成抑制剂，</w:t>
      </w:r>
      <w:r>
        <w:rPr>
          <w:rFonts w:eastAsia="Times New Roman" w:cs="Times New Roman"/>
          <w:color w:val="000000"/>
        </w:rPr>
        <w:t>KT</w:t>
      </w:r>
      <w:r>
        <w:rPr>
          <w:rFonts w:ascii="宋体" w:hAnsi="宋体"/>
          <w:color w:val="000000"/>
        </w:rPr>
        <w:t>为细胞分裂素类植物生长调节剂，气孔导度表示气孔张开的程度。已知蔗糖转化酶催化蔗糖分解为单糖。</w:t>
      </w:r>
    </w:p>
    <w:tbl>
      <w:tblPr>
        <w:tblW w:w="77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firstRow="1" w:lastRow="0" w:firstColumn="1" w:lastColumn="0" w:noHBand="0" w:noVBand="1"/>
      </w:tblPr>
      <w:tblGrid>
        <w:gridCol w:w="2831"/>
        <w:gridCol w:w="1592"/>
        <w:gridCol w:w="1140"/>
        <w:gridCol w:w="960"/>
        <w:gridCol w:w="1245"/>
      </w:tblGrid>
      <w:tr w:rsidR="006A50FF" w14:paraId="1B205DFD" w14:textId="77777777">
        <w:trPr>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2E92D24" w14:textId="77777777" w:rsidR="006A50FF" w:rsidRDefault="00000000">
            <w:pPr>
              <w:spacing w:line="360" w:lineRule="auto"/>
              <w:jc w:val="center"/>
              <w:textAlignment w:val="center"/>
              <w:rPr>
                <w:color w:val="000000"/>
              </w:rPr>
            </w:pPr>
            <w:r>
              <w:rPr>
                <w:rFonts w:ascii="宋体" w:hAnsi="宋体"/>
                <w:color w:val="000000"/>
              </w:rPr>
              <w:t>检测指标</w:t>
            </w:r>
          </w:p>
        </w:tc>
        <w:tc>
          <w:tcPr>
            <w:tcW w:w="1592"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675A6AD" w14:textId="77777777" w:rsidR="006A50FF" w:rsidRDefault="00000000">
            <w:pPr>
              <w:spacing w:line="360" w:lineRule="auto"/>
              <w:jc w:val="center"/>
              <w:textAlignment w:val="center"/>
              <w:rPr>
                <w:color w:val="000000"/>
              </w:rPr>
            </w:pPr>
            <w:r>
              <w:rPr>
                <w:rFonts w:ascii="宋体" w:hAnsi="宋体"/>
                <w:color w:val="000000"/>
              </w:rPr>
              <w:t>植株</w:t>
            </w:r>
          </w:p>
        </w:tc>
        <w:tc>
          <w:tcPr>
            <w:tcW w:w="114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A882A90" w14:textId="77777777" w:rsidR="006A50FF" w:rsidRDefault="00000000">
            <w:pPr>
              <w:spacing w:line="360" w:lineRule="auto"/>
              <w:jc w:val="center"/>
              <w:textAlignment w:val="center"/>
              <w:rPr>
                <w:color w:val="000000"/>
              </w:rPr>
            </w:pPr>
            <w:r>
              <w:rPr>
                <w:rFonts w:eastAsia="Times New Roman" w:cs="Times New Roman"/>
                <w:color w:val="000000"/>
              </w:rPr>
              <w:t>14</w:t>
            </w:r>
            <w:r>
              <w:rPr>
                <w:rFonts w:ascii="宋体" w:hAnsi="宋体"/>
                <w:color w:val="000000"/>
              </w:rPr>
              <w:t>天</w:t>
            </w:r>
          </w:p>
        </w:tc>
        <w:tc>
          <w:tcPr>
            <w:tcW w:w="9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4D5CFD8" w14:textId="77777777" w:rsidR="006A50FF" w:rsidRDefault="00000000">
            <w:pPr>
              <w:spacing w:line="360" w:lineRule="auto"/>
              <w:jc w:val="center"/>
              <w:textAlignment w:val="center"/>
              <w:rPr>
                <w:color w:val="000000"/>
              </w:rPr>
            </w:pPr>
            <w:r>
              <w:rPr>
                <w:rFonts w:eastAsia="Times New Roman" w:cs="Times New Roman"/>
                <w:color w:val="000000"/>
              </w:rPr>
              <w:t>21</w:t>
            </w:r>
            <w:r>
              <w:rPr>
                <w:rFonts w:ascii="宋体" w:hAnsi="宋体"/>
                <w:color w:val="000000"/>
              </w:rPr>
              <w:t>天</w:t>
            </w:r>
          </w:p>
        </w:tc>
        <w:tc>
          <w:tcPr>
            <w:tcW w:w="124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9938349" w14:textId="77777777" w:rsidR="006A50FF" w:rsidRDefault="00000000">
            <w:pPr>
              <w:spacing w:line="360" w:lineRule="auto"/>
              <w:jc w:val="center"/>
              <w:textAlignment w:val="center"/>
              <w:rPr>
                <w:color w:val="000000"/>
              </w:rPr>
            </w:pPr>
            <w:r>
              <w:rPr>
                <w:rFonts w:eastAsia="Times New Roman" w:cs="Times New Roman"/>
                <w:color w:val="000000"/>
              </w:rPr>
              <w:t>28</w:t>
            </w:r>
            <w:r>
              <w:rPr>
                <w:rFonts w:ascii="宋体" w:hAnsi="宋体"/>
                <w:color w:val="000000"/>
              </w:rPr>
              <w:t>天</w:t>
            </w:r>
          </w:p>
        </w:tc>
      </w:tr>
      <w:tr w:rsidR="006A50FF" w14:paraId="633D8347" w14:textId="77777777">
        <w:trPr>
          <w:jc w:val="center"/>
        </w:trPr>
        <w:tc>
          <w:tcPr>
            <w:tcW w:w="0" w:type="auto"/>
            <w:vMerge w:val="restart"/>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3C27DEA" w14:textId="77777777" w:rsidR="006A50FF" w:rsidRDefault="00000000">
            <w:pPr>
              <w:spacing w:line="360" w:lineRule="auto"/>
              <w:jc w:val="center"/>
              <w:textAlignment w:val="center"/>
              <w:rPr>
                <w:color w:val="000000"/>
              </w:rPr>
            </w:pPr>
            <w:r>
              <w:rPr>
                <w:rFonts w:ascii="宋体" w:hAnsi="宋体"/>
                <w:color w:val="000000"/>
              </w:rPr>
              <w:t>胞间</w:t>
            </w:r>
            <w:r>
              <w:rPr>
                <w:rFonts w:eastAsia="Times New Roman" w:cs="Times New Roman"/>
                <w:color w:val="000000"/>
              </w:rPr>
              <w:t>CO</w:t>
            </w:r>
            <w:r>
              <w:rPr>
                <w:color w:val="000000"/>
                <w:vertAlign w:val="subscript"/>
              </w:rPr>
              <w:t>2</w:t>
            </w:r>
            <w:r>
              <w:rPr>
                <w:rFonts w:ascii="宋体" w:hAnsi="宋体"/>
                <w:color w:val="000000"/>
              </w:rPr>
              <w:t>浓度（</w:t>
            </w:r>
            <w:r>
              <w:rPr>
                <w:rFonts w:eastAsia="Times New Roman" w:cs="Times New Roman"/>
                <w:color w:val="000000"/>
              </w:rPr>
              <w:t>μmolCO</w:t>
            </w:r>
            <w:r>
              <w:rPr>
                <w:color w:val="000000"/>
                <w:vertAlign w:val="subscript"/>
              </w:rPr>
              <w:t>2</w:t>
            </w:r>
            <w:r>
              <w:rPr>
                <w:rFonts w:eastAsia="Times New Roman" w:cs="Times New Roman"/>
                <w:color w:val="000000"/>
              </w:rPr>
              <w:t>mol</w:t>
            </w:r>
            <w:r>
              <w:rPr>
                <w:color w:val="000000"/>
                <w:vertAlign w:val="superscript"/>
              </w:rPr>
              <w:t>-1</w:t>
            </w:r>
            <w:r>
              <w:rPr>
                <w:rFonts w:ascii="宋体" w:hAnsi="宋体"/>
                <w:color w:val="000000"/>
              </w:rPr>
              <w:t>）</w:t>
            </w:r>
          </w:p>
        </w:tc>
        <w:tc>
          <w:tcPr>
            <w:tcW w:w="1592"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7654D08" w14:textId="77777777" w:rsidR="006A50FF" w:rsidRDefault="00000000">
            <w:pPr>
              <w:spacing w:line="360" w:lineRule="auto"/>
              <w:jc w:val="center"/>
              <w:textAlignment w:val="center"/>
              <w:rPr>
                <w:color w:val="000000"/>
              </w:rPr>
            </w:pPr>
            <w:r>
              <w:rPr>
                <w:rFonts w:ascii="宋体" w:hAnsi="宋体"/>
                <w:color w:val="000000"/>
              </w:rPr>
              <w:t>野生型</w:t>
            </w:r>
          </w:p>
        </w:tc>
        <w:tc>
          <w:tcPr>
            <w:tcW w:w="114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448E946" w14:textId="77777777" w:rsidR="006A50FF" w:rsidRDefault="00000000">
            <w:pPr>
              <w:spacing w:line="360" w:lineRule="auto"/>
              <w:jc w:val="center"/>
              <w:textAlignment w:val="center"/>
              <w:rPr>
                <w:color w:val="000000"/>
              </w:rPr>
            </w:pPr>
            <w:r>
              <w:rPr>
                <w:rFonts w:eastAsia="Times New Roman" w:cs="Times New Roman"/>
                <w:color w:val="000000"/>
              </w:rPr>
              <w:t>140</w:t>
            </w:r>
          </w:p>
        </w:tc>
        <w:tc>
          <w:tcPr>
            <w:tcW w:w="9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C29F334" w14:textId="77777777" w:rsidR="006A50FF" w:rsidRDefault="00000000">
            <w:pPr>
              <w:spacing w:line="360" w:lineRule="auto"/>
              <w:jc w:val="center"/>
              <w:textAlignment w:val="center"/>
              <w:rPr>
                <w:color w:val="000000"/>
              </w:rPr>
            </w:pPr>
            <w:r>
              <w:rPr>
                <w:rFonts w:eastAsia="Times New Roman" w:cs="Times New Roman"/>
                <w:color w:val="000000"/>
              </w:rPr>
              <w:t>151</w:t>
            </w:r>
          </w:p>
        </w:tc>
        <w:tc>
          <w:tcPr>
            <w:tcW w:w="124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063E464" w14:textId="77777777" w:rsidR="006A50FF" w:rsidRDefault="00000000">
            <w:pPr>
              <w:spacing w:line="360" w:lineRule="auto"/>
              <w:jc w:val="center"/>
              <w:textAlignment w:val="center"/>
              <w:rPr>
                <w:color w:val="000000"/>
              </w:rPr>
            </w:pPr>
            <w:r>
              <w:rPr>
                <w:rFonts w:eastAsia="Times New Roman" w:cs="Times New Roman"/>
                <w:color w:val="000000"/>
              </w:rPr>
              <w:t>270</w:t>
            </w:r>
          </w:p>
        </w:tc>
      </w:tr>
      <w:tr w:rsidR="006A50FF" w14:paraId="1C610649" w14:textId="77777777">
        <w:trPr>
          <w:jc w:val="center"/>
        </w:trPr>
        <w:tc>
          <w:tcPr>
            <w:tcW w:w="0" w:type="auto"/>
            <w:vMerge/>
            <w:tcBorders>
              <w:top w:val="single" w:sz="6" w:space="0" w:color="000000"/>
              <w:left w:val="single" w:sz="6" w:space="0" w:color="000000"/>
              <w:bottom w:val="single" w:sz="6" w:space="0" w:color="000000"/>
              <w:right w:val="single" w:sz="6" w:space="0" w:color="000000"/>
            </w:tcBorders>
          </w:tcPr>
          <w:p w14:paraId="49E2286A" w14:textId="77777777" w:rsidR="006A50FF" w:rsidRDefault="006A50FF">
            <w:pPr>
              <w:spacing w:line="360" w:lineRule="auto"/>
              <w:jc w:val="center"/>
              <w:textAlignment w:val="center"/>
              <w:rPr>
                <w:color w:val="000000"/>
              </w:rPr>
            </w:pPr>
          </w:p>
        </w:tc>
        <w:tc>
          <w:tcPr>
            <w:tcW w:w="1592"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4353A63" w14:textId="77777777" w:rsidR="006A50FF" w:rsidRDefault="00000000">
            <w:pPr>
              <w:spacing w:line="360" w:lineRule="auto"/>
              <w:jc w:val="center"/>
              <w:textAlignment w:val="center"/>
              <w:rPr>
                <w:color w:val="000000"/>
              </w:rPr>
            </w:pPr>
            <w:r>
              <w:rPr>
                <w:rFonts w:ascii="宋体" w:hAnsi="宋体"/>
                <w:color w:val="000000"/>
              </w:rPr>
              <w:t>突变体</w:t>
            </w:r>
          </w:p>
        </w:tc>
        <w:tc>
          <w:tcPr>
            <w:tcW w:w="114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90D8D35" w14:textId="77777777" w:rsidR="006A50FF" w:rsidRDefault="00000000">
            <w:pPr>
              <w:spacing w:line="360" w:lineRule="auto"/>
              <w:jc w:val="center"/>
              <w:textAlignment w:val="center"/>
              <w:rPr>
                <w:color w:val="000000"/>
              </w:rPr>
            </w:pPr>
            <w:r>
              <w:rPr>
                <w:rFonts w:eastAsia="Times New Roman" w:cs="Times New Roman"/>
                <w:color w:val="000000"/>
              </w:rPr>
              <w:t>110</w:t>
            </w:r>
          </w:p>
        </w:tc>
        <w:tc>
          <w:tcPr>
            <w:tcW w:w="9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7EEE84B" w14:textId="77777777" w:rsidR="006A50FF" w:rsidRDefault="00000000">
            <w:pPr>
              <w:spacing w:line="360" w:lineRule="auto"/>
              <w:jc w:val="center"/>
              <w:textAlignment w:val="center"/>
              <w:rPr>
                <w:color w:val="000000"/>
              </w:rPr>
            </w:pPr>
            <w:r>
              <w:rPr>
                <w:rFonts w:eastAsia="Times New Roman" w:cs="Times New Roman"/>
                <w:color w:val="000000"/>
              </w:rPr>
              <w:t>140</w:t>
            </w:r>
          </w:p>
        </w:tc>
        <w:tc>
          <w:tcPr>
            <w:tcW w:w="124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3526E5F" w14:textId="77777777" w:rsidR="006A50FF" w:rsidRDefault="00000000">
            <w:pPr>
              <w:spacing w:line="360" w:lineRule="auto"/>
              <w:jc w:val="center"/>
              <w:textAlignment w:val="center"/>
              <w:rPr>
                <w:color w:val="000000"/>
              </w:rPr>
            </w:pPr>
            <w:r>
              <w:rPr>
                <w:rFonts w:eastAsia="Times New Roman" w:cs="Times New Roman"/>
                <w:color w:val="000000"/>
              </w:rPr>
              <w:t>205</w:t>
            </w:r>
          </w:p>
        </w:tc>
      </w:tr>
      <w:tr w:rsidR="006A50FF" w14:paraId="7C879085" w14:textId="77777777">
        <w:trPr>
          <w:jc w:val="center"/>
        </w:trPr>
        <w:tc>
          <w:tcPr>
            <w:tcW w:w="0" w:type="auto"/>
            <w:vMerge w:val="restart"/>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13AD4D8" w14:textId="77777777" w:rsidR="006A50FF" w:rsidRDefault="00000000">
            <w:pPr>
              <w:spacing w:line="360" w:lineRule="auto"/>
              <w:jc w:val="center"/>
              <w:textAlignment w:val="center"/>
              <w:rPr>
                <w:color w:val="000000"/>
              </w:rPr>
            </w:pPr>
            <w:r>
              <w:rPr>
                <w:rFonts w:ascii="宋体" w:hAnsi="宋体"/>
                <w:color w:val="000000"/>
              </w:rPr>
              <w:t>气孔导度（</w:t>
            </w:r>
            <w:r>
              <w:rPr>
                <w:rFonts w:eastAsia="Times New Roman" w:cs="Times New Roman"/>
                <w:color w:val="000000"/>
              </w:rPr>
              <w:t>molH</w:t>
            </w:r>
            <w:r>
              <w:rPr>
                <w:color w:val="000000"/>
                <w:vertAlign w:val="subscript"/>
              </w:rPr>
              <w:t>2</w:t>
            </w:r>
            <w:r>
              <w:rPr>
                <w:rFonts w:eastAsia="Times New Roman" w:cs="Times New Roman"/>
                <w:color w:val="000000"/>
              </w:rPr>
              <w:t>Om</w:t>
            </w:r>
            <w:r>
              <w:rPr>
                <w:color w:val="000000"/>
                <w:vertAlign w:val="superscript"/>
              </w:rPr>
              <w:t>-2</w:t>
            </w:r>
            <w:r>
              <w:rPr>
                <w:rFonts w:eastAsia="Times New Roman" w:cs="Times New Roman"/>
                <w:color w:val="000000"/>
              </w:rPr>
              <w:t>s</w:t>
            </w:r>
            <w:r>
              <w:rPr>
                <w:color w:val="000000"/>
                <w:vertAlign w:val="superscript"/>
              </w:rPr>
              <w:t>-1</w:t>
            </w:r>
            <w:r>
              <w:rPr>
                <w:rFonts w:ascii="宋体" w:hAnsi="宋体"/>
                <w:color w:val="000000"/>
              </w:rPr>
              <w:t>）</w:t>
            </w:r>
          </w:p>
        </w:tc>
        <w:tc>
          <w:tcPr>
            <w:tcW w:w="1592"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9043065" w14:textId="77777777" w:rsidR="006A50FF" w:rsidRDefault="00000000">
            <w:pPr>
              <w:spacing w:line="360" w:lineRule="auto"/>
              <w:jc w:val="center"/>
              <w:textAlignment w:val="center"/>
              <w:rPr>
                <w:color w:val="000000"/>
              </w:rPr>
            </w:pPr>
            <w:r>
              <w:rPr>
                <w:rFonts w:ascii="宋体" w:hAnsi="宋体"/>
                <w:color w:val="000000"/>
              </w:rPr>
              <w:t>野生型</w:t>
            </w:r>
          </w:p>
        </w:tc>
        <w:tc>
          <w:tcPr>
            <w:tcW w:w="114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0C168F0" w14:textId="77777777" w:rsidR="006A50FF" w:rsidRDefault="00000000">
            <w:pPr>
              <w:spacing w:line="360" w:lineRule="auto"/>
              <w:jc w:val="center"/>
              <w:textAlignment w:val="center"/>
              <w:rPr>
                <w:color w:val="000000"/>
              </w:rPr>
            </w:pPr>
            <w:r>
              <w:rPr>
                <w:rFonts w:eastAsia="Times New Roman" w:cs="Times New Roman"/>
                <w:color w:val="000000"/>
              </w:rPr>
              <w:t>125</w:t>
            </w:r>
          </w:p>
        </w:tc>
        <w:tc>
          <w:tcPr>
            <w:tcW w:w="9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6E37549" w14:textId="77777777" w:rsidR="006A50FF" w:rsidRDefault="00000000">
            <w:pPr>
              <w:spacing w:line="360" w:lineRule="auto"/>
              <w:jc w:val="center"/>
              <w:textAlignment w:val="center"/>
              <w:rPr>
                <w:color w:val="000000"/>
              </w:rPr>
            </w:pPr>
            <w:r>
              <w:rPr>
                <w:rFonts w:eastAsia="Times New Roman" w:cs="Times New Roman"/>
                <w:color w:val="000000"/>
              </w:rPr>
              <w:t>95</w:t>
            </w:r>
          </w:p>
        </w:tc>
        <w:tc>
          <w:tcPr>
            <w:tcW w:w="124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F1750E7" w14:textId="77777777" w:rsidR="006A50FF" w:rsidRDefault="00000000">
            <w:pPr>
              <w:spacing w:line="360" w:lineRule="auto"/>
              <w:jc w:val="center"/>
              <w:textAlignment w:val="center"/>
              <w:rPr>
                <w:color w:val="000000"/>
              </w:rPr>
            </w:pPr>
            <w:r>
              <w:rPr>
                <w:rFonts w:eastAsia="Times New Roman" w:cs="Times New Roman"/>
                <w:color w:val="000000"/>
              </w:rPr>
              <w:t>41</w:t>
            </w:r>
          </w:p>
        </w:tc>
      </w:tr>
      <w:tr w:rsidR="006A50FF" w14:paraId="5D8FE3D5" w14:textId="77777777">
        <w:trPr>
          <w:jc w:val="center"/>
        </w:trPr>
        <w:tc>
          <w:tcPr>
            <w:tcW w:w="0" w:type="auto"/>
            <w:vMerge/>
            <w:tcBorders>
              <w:top w:val="single" w:sz="6" w:space="0" w:color="000000"/>
              <w:left w:val="single" w:sz="6" w:space="0" w:color="000000"/>
              <w:bottom w:val="single" w:sz="6" w:space="0" w:color="000000"/>
              <w:right w:val="single" w:sz="6" w:space="0" w:color="000000"/>
            </w:tcBorders>
          </w:tcPr>
          <w:p w14:paraId="77C04004" w14:textId="77777777" w:rsidR="006A50FF" w:rsidRDefault="006A50FF">
            <w:pPr>
              <w:spacing w:line="360" w:lineRule="auto"/>
              <w:jc w:val="center"/>
              <w:textAlignment w:val="center"/>
              <w:rPr>
                <w:color w:val="000000"/>
              </w:rPr>
            </w:pPr>
          </w:p>
        </w:tc>
        <w:tc>
          <w:tcPr>
            <w:tcW w:w="1592"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564C37B" w14:textId="77777777" w:rsidR="006A50FF" w:rsidRDefault="00000000">
            <w:pPr>
              <w:spacing w:line="360" w:lineRule="auto"/>
              <w:jc w:val="center"/>
              <w:textAlignment w:val="center"/>
              <w:rPr>
                <w:color w:val="000000"/>
              </w:rPr>
            </w:pPr>
            <w:r>
              <w:rPr>
                <w:rFonts w:ascii="宋体" w:hAnsi="宋体"/>
                <w:color w:val="000000"/>
              </w:rPr>
              <w:t>突变体</w:t>
            </w:r>
          </w:p>
        </w:tc>
        <w:tc>
          <w:tcPr>
            <w:tcW w:w="114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5ABFA0F" w14:textId="77777777" w:rsidR="006A50FF" w:rsidRDefault="00000000">
            <w:pPr>
              <w:spacing w:line="360" w:lineRule="auto"/>
              <w:jc w:val="center"/>
              <w:textAlignment w:val="center"/>
              <w:rPr>
                <w:color w:val="000000"/>
              </w:rPr>
            </w:pPr>
            <w:r>
              <w:rPr>
                <w:rFonts w:eastAsia="Times New Roman" w:cs="Times New Roman"/>
                <w:color w:val="000000"/>
              </w:rPr>
              <w:t>140</w:t>
            </w:r>
          </w:p>
        </w:tc>
        <w:tc>
          <w:tcPr>
            <w:tcW w:w="9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1A4EA04" w14:textId="77777777" w:rsidR="006A50FF" w:rsidRDefault="00000000">
            <w:pPr>
              <w:spacing w:line="360" w:lineRule="auto"/>
              <w:jc w:val="center"/>
              <w:textAlignment w:val="center"/>
              <w:rPr>
                <w:color w:val="000000"/>
              </w:rPr>
            </w:pPr>
            <w:r>
              <w:rPr>
                <w:rFonts w:eastAsia="Times New Roman" w:cs="Times New Roman"/>
                <w:color w:val="000000"/>
              </w:rPr>
              <w:t>112</w:t>
            </w:r>
          </w:p>
        </w:tc>
        <w:tc>
          <w:tcPr>
            <w:tcW w:w="124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EB269C1" w14:textId="77777777" w:rsidR="006A50FF" w:rsidRDefault="00000000">
            <w:pPr>
              <w:spacing w:line="360" w:lineRule="auto"/>
              <w:jc w:val="center"/>
              <w:textAlignment w:val="center"/>
              <w:rPr>
                <w:color w:val="000000"/>
              </w:rPr>
            </w:pPr>
            <w:r>
              <w:rPr>
                <w:rFonts w:eastAsia="Times New Roman" w:cs="Times New Roman"/>
                <w:color w:val="000000"/>
              </w:rPr>
              <w:t>78</w:t>
            </w:r>
          </w:p>
        </w:tc>
      </w:tr>
    </w:tbl>
    <w:p w14:paraId="74245098" w14:textId="77777777" w:rsidR="006A50FF" w:rsidRDefault="00000000">
      <w:pPr>
        <w:spacing w:line="360" w:lineRule="auto"/>
        <w:jc w:val="center"/>
        <w:textAlignment w:val="center"/>
        <w:rPr>
          <w:color w:val="000000"/>
        </w:rPr>
      </w:pPr>
      <w:r>
        <w:rPr>
          <w:noProof/>
          <w:color w:val="000000"/>
        </w:rPr>
        <w:drawing>
          <wp:inline distT="0" distB="0" distL="114300" distR="114300" wp14:anchorId="2A847E36" wp14:editId="37EAB044">
            <wp:extent cx="3133725" cy="2371725"/>
            <wp:effectExtent l="0" t="0" r="9525" b="9525"/>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r:embed="rId15"/>
                    <a:stretch>
                      <a:fillRect/>
                    </a:stretch>
                  </pic:blipFill>
                  <pic:spPr>
                    <a:xfrm>
                      <a:off x="0" y="0"/>
                      <a:ext cx="3133725" cy="2371725"/>
                    </a:xfrm>
                    <a:prstGeom prst="rect">
                      <a:avLst/>
                    </a:prstGeom>
                  </pic:spPr>
                </pic:pic>
              </a:graphicData>
            </a:graphic>
          </wp:inline>
        </w:drawing>
      </w:r>
    </w:p>
    <w:p w14:paraId="3034DED7" w14:textId="77777777" w:rsidR="006A50FF" w:rsidRDefault="00000000">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光反应在类囊体上进行，生成可供暗反应利用的物质有</w:t>
      </w:r>
      <w:r>
        <w:rPr>
          <w:color w:val="000000"/>
        </w:rPr>
        <w:t>______</w:t>
      </w:r>
      <w:r>
        <w:rPr>
          <w:rFonts w:ascii="宋体" w:hAnsi="宋体"/>
          <w:color w:val="000000"/>
        </w:rPr>
        <w:t>。结合细胞分裂素的作用，据图分析，与野生型相比，开花后突变体叶片变黄的速度慢的原因是</w:t>
      </w:r>
      <w:r>
        <w:rPr>
          <w:color w:val="000000"/>
        </w:rPr>
        <w:t>______</w:t>
      </w:r>
      <w:r>
        <w:rPr>
          <w:rFonts w:ascii="宋体" w:hAnsi="宋体"/>
          <w:color w:val="000000"/>
        </w:rPr>
        <w:t>。</w:t>
      </w:r>
    </w:p>
    <w:p w14:paraId="7755AF40" w14:textId="77777777" w:rsidR="006A50FF" w:rsidRDefault="00000000">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光饱和点是光合速率达到最大时的最低光照强度。据表分析，与野生型相比，开花</w:t>
      </w:r>
      <w:r>
        <w:rPr>
          <w:rFonts w:eastAsia="Times New Roman" w:cs="Times New Roman"/>
          <w:color w:val="000000"/>
        </w:rPr>
        <w:t>14</w:t>
      </w:r>
      <w:r>
        <w:rPr>
          <w:rFonts w:ascii="宋体" w:hAnsi="宋体"/>
          <w:color w:val="000000"/>
        </w:rPr>
        <w:t>天后突变体的光饱和点</w:t>
      </w:r>
      <w:r>
        <w:rPr>
          <w:color w:val="000000"/>
        </w:rPr>
        <w:t>______</w:t>
      </w:r>
      <w:r>
        <w:rPr>
          <w:rFonts w:ascii="宋体" w:hAnsi="宋体"/>
          <w:color w:val="000000"/>
        </w:rPr>
        <w:t>（填“高”或“低”），理由是</w:t>
      </w:r>
      <w:r>
        <w:rPr>
          <w:color w:val="000000"/>
        </w:rPr>
        <w:t>______</w:t>
      </w:r>
      <w:r>
        <w:rPr>
          <w:rFonts w:ascii="宋体" w:hAnsi="宋体"/>
          <w:color w:val="000000"/>
        </w:rPr>
        <w:t>。</w:t>
      </w:r>
    </w:p>
    <w:p w14:paraId="2D311F97" w14:textId="77777777" w:rsidR="006A50FF" w:rsidRDefault="00000000">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已知叶片的光合产物主要以蔗糖的形式运输到植株各处。据图分析，突变体籽粒淀粉含量低的原因是</w:t>
      </w:r>
      <w:r>
        <w:rPr>
          <w:color w:val="000000"/>
        </w:rPr>
        <w:t>______</w:t>
      </w:r>
      <w:r>
        <w:rPr>
          <w:rFonts w:ascii="宋体" w:hAnsi="宋体"/>
          <w:color w:val="000000"/>
        </w:rPr>
        <w:t>。</w:t>
      </w:r>
    </w:p>
    <w:p w14:paraId="5095A8B7" w14:textId="77777777" w:rsidR="006A50FF" w:rsidRDefault="00000000">
      <w:pPr>
        <w:spacing w:line="360" w:lineRule="auto"/>
        <w:jc w:val="left"/>
        <w:textAlignment w:val="center"/>
        <w:rPr>
          <w:color w:val="000000"/>
        </w:rPr>
      </w:pPr>
      <w:r>
        <w:rPr>
          <w:color w:val="000000"/>
        </w:rPr>
        <w:t xml:space="preserve">22. </w:t>
      </w:r>
      <w:r>
        <w:rPr>
          <w:rFonts w:ascii="宋体" w:hAnsi="宋体"/>
          <w:color w:val="000000"/>
        </w:rPr>
        <w:t>某二倍体两性花植物的花色、茎高和籽粒颜色</w:t>
      </w:r>
      <w:r>
        <w:rPr>
          <w:rFonts w:eastAsia="Times New Roman" w:cs="Times New Roman"/>
          <w:color w:val="000000"/>
        </w:rPr>
        <w:t>3</w:t>
      </w:r>
      <w:r>
        <w:rPr>
          <w:rFonts w:ascii="宋体" w:hAnsi="宋体"/>
          <w:color w:val="000000"/>
        </w:rPr>
        <w:t>种性状的遗传只涉及</w:t>
      </w:r>
      <w:r>
        <w:rPr>
          <w:rFonts w:eastAsia="Times New Roman" w:cs="Times New Roman"/>
          <w:color w:val="000000"/>
        </w:rPr>
        <w:t>2</w:t>
      </w:r>
      <w:r>
        <w:rPr>
          <w:rFonts w:ascii="宋体" w:hAnsi="宋体"/>
          <w:color w:val="000000"/>
        </w:rPr>
        <w:t>对等位基因，且每种性状只由</w:t>
      </w:r>
      <w:r>
        <w:rPr>
          <w:rFonts w:eastAsia="Times New Roman" w:cs="Times New Roman"/>
          <w:color w:val="000000"/>
        </w:rPr>
        <w:t>1</w:t>
      </w:r>
      <w:r>
        <w:rPr>
          <w:rFonts w:ascii="宋体" w:hAnsi="宋体"/>
          <w:color w:val="000000"/>
        </w:rPr>
        <w:t>对等位基因控制，其中控制籽粒颜色的等位基因为</w:t>
      </w:r>
      <w:r>
        <w:rPr>
          <w:rFonts w:eastAsia="Times New Roman" w:cs="Times New Roman"/>
          <w:color w:val="000000"/>
        </w:rPr>
        <w:t>D</w:t>
      </w:r>
      <w:r>
        <w:rPr>
          <w:rFonts w:ascii="宋体" w:hAnsi="宋体"/>
          <w:color w:val="000000"/>
        </w:rPr>
        <w:t>、</w:t>
      </w:r>
      <w:r>
        <w:rPr>
          <w:rFonts w:eastAsia="Times New Roman" w:cs="Times New Roman"/>
          <w:color w:val="000000"/>
        </w:rPr>
        <w:t>d</w:t>
      </w:r>
      <w:r>
        <w:rPr>
          <w:rFonts w:ascii="宋体" w:hAnsi="宋体"/>
          <w:color w:val="000000"/>
        </w:rPr>
        <w:t>；叶边缘的光滑形和锯齿形是由</w:t>
      </w:r>
      <w:r>
        <w:rPr>
          <w:rFonts w:eastAsia="Times New Roman" w:cs="Times New Roman"/>
          <w:color w:val="000000"/>
        </w:rPr>
        <w:t>2</w:t>
      </w:r>
      <w:r>
        <w:rPr>
          <w:rFonts w:ascii="宋体" w:hAnsi="宋体"/>
          <w:color w:val="000000"/>
        </w:rPr>
        <w:t>对等位基因</w:t>
      </w:r>
      <w:r>
        <w:rPr>
          <w:rFonts w:eastAsia="Times New Roman" w:cs="Times New Roman"/>
          <w:color w:val="000000"/>
        </w:rPr>
        <w:t>A</w:t>
      </w:r>
      <w:r>
        <w:rPr>
          <w:rFonts w:ascii="宋体" w:hAnsi="宋体"/>
          <w:color w:val="000000"/>
        </w:rPr>
        <w:t>、</w:t>
      </w:r>
      <w:r>
        <w:rPr>
          <w:rFonts w:eastAsia="Times New Roman" w:cs="Times New Roman"/>
          <w:color w:val="000000"/>
        </w:rPr>
        <w:t>a</w:t>
      </w:r>
      <w:r>
        <w:rPr>
          <w:rFonts w:ascii="宋体" w:hAnsi="宋体"/>
          <w:color w:val="000000"/>
        </w:rPr>
        <w:t>和</w:t>
      </w:r>
      <w:r>
        <w:rPr>
          <w:rFonts w:eastAsia="Times New Roman" w:cs="Times New Roman"/>
          <w:color w:val="000000"/>
        </w:rPr>
        <w:t>B</w:t>
      </w:r>
      <w:r>
        <w:rPr>
          <w:rFonts w:ascii="宋体" w:hAnsi="宋体"/>
          <w:color w:val="000000"/>
        </w:rPr>
        <w:t>、</w:t>
      </w:r>
      <w:r>
        <w:rPr>
          <w:rFonts w:eastAsia="Times New Roman" w:cs="Times New Roman"/>
          <w:color w:val="000000"/>
        </w:rPr>
        <w:t>b</w:t>
      </w:r>
      <w:r>
        <w:rPr>
          <w:rFonts w:ascii="宋体" w:hAnsi="宋体"/>
          <w:color w:val="000000"/>
        </w:rPr>
        <w:t>控制的</w:t>
      </w:r>
      <w:r>
        <w:rPr>
          <w:rFonts w:eastAsia="Times New Roman" w:cs="Times New Roman"/>
          <w:color w:val="000000"/>
        </w:rPr>
        <w:t>1</w:t>
      </w:r>
      <w:r>
        <w:rPr>
          <w:rFonts w:ascii="宋体" w:hAnsi="宋体"/>
          <w:color w:val="000000"/>
        </w:rPr>
        <w:t>对相对性状，且只要有</w:t>
      </w:r>
      <w:r>
        <w:rPr>
          <w:rFonts w:eastAsia="Times New Roman" w:cs="Times New Roman"/>
          <w:color w:val="000000"/>
        </w:rPr>
        <w:t>1</w:t>
      </w:r>
      <w:r>
        <w:rPr>
          <w:rFonts w:ascii="宋体" w:hAnsi="宋体"/>
          <w:color w:val="000000"/>
        </w:rPr>
        <w:t>对隐性纯合基因，叶边缘就表现为锯齿形。为研究上述性状的遗传特性，进行了如表所示的杂交实验。另外，拟用乙组</w:t>
      </w:r>
      <w:r>
        <w:rPr>
          <w:rFonts w:eastAsia="Times New Roman" w:cs="Times New Roman"/>
          <w:color w:val="000000"/>
        </w:rPr>
        <w:t>F</w:t>
      </w:r>
      <w:r>
        <w:rPr>
          <w:color w:val="000000"/>
          <w:vertAlign w:val="subscript"/>
        </w:rPr>
        <w:t>1</w:t>
      </w:r>
      <w:r>
        <w:rPr>
          <w:rFonts w:ascii="宋体" w:hAnsi="宋体"/>
          <w:color w:val="000000"/>
        </w:rPr>
        <w:t>自交获得的</w:t>
      </w:r>
      <w:r>
        <w:rPr>
          <w:rFonts w:eastAsia="Times New Roman" w:cs="Times New Roman"/>
          <w:color w:val="000000"/>
        </w:rPr>
        <w:t>F</w:t>
      </w:r>
      <w:r>
        <w:rPr>
          <w:color w:val="000000"/>
          <w:vertAlign w:val="subscript"/>
        </w:rPr>
        <w:t>2</w:t>
      </w:r>
      <w:r>
        <w:rPr>
          <w:rFonts w:ascii="宋体" w:hAnsi="宋体"/>
          <w:color w:val="000000"/>
        </w:rPr>
        <w:t>中所有锯齿叶绿粒植株的叶片为材料，通过</w:t>
      </w:r>
      <w:r>
        <w:rPr>
          <w:rFonts w:eastAsia="Times New Roman" w:cs="Times New Roman"/>
          <w:color w:val="000000"/>
        </w:rPr>
        <w:t>PCR</w:t>
      </w:r>
      <w:r>
        <w:rPr>
          <w:rFonts w:ascii="宋体" w:hAnsi="宋体"/>
          <w:color w:val="000000"/>
        </w:rPr>
        <w:t>检测每株个体中控制这</w:t>
      </w:r>
      <w:r>
        <w:rPr>
          <w:rFonts w:eastAsia="Times New Roman" w:cs="Times New Roman"/>
          <w:color w:val="000000"/>
        </w:rPr>
        <w:t>2</w:t>
      </w:r>
      <w:r>
        <w:rPr>
          <w:rFonts w:ascii="宋体" w:hAnsi="宋体"/>
          <w:color w:val="000000"/>
        </w:rPr>
        <w:t>种性状的所有等位基因，以辅助确定这些基因在染色体上的相对位置关系。预期</w:t>
      </w:r>
      <w:r>
        <w:rPr>
          <w:rFonts w:ascii="宋体" w:hAnsi="宋体"/>
          <w:color w:val="000000"/>
        </w:rPr>
        <w:lastRenderedPageBreak/>
        <w:t>对被检测群体中所有个体按</w:t>
      </w:r>
      <w:r>
        <w:rPr>
          <w:rFonts w:eastAsia="Times New Roman" w:cs="Times New Roman"/>
          <w:color w:val="000000"/>
        </w:rPr>
        <w:t>PCR</w:t>
      </w:r>
      <w:r>
        <w:rPr>
          <w:rFonts w:ascii="宋体" w:hAnsi="宋体"/>
          <w:color w:val="000000"/>
        </w:rPr>
        <w:t>产物的电泳条带组成（即基因型）相同的原则归类后，该群体电泳图谱只有类型Ⅰ或类型Ⅱ，如图所示，其中条带③和④分别代表基因</w:t>
      </w:r>
      <w:r>
        <w:rPr>
          <w:rFonts w:eastAsia="Times New Roman" w:cs="Times New Roman"/>
          <w:color w:val="000000"/>
        </w:rPr>
        <w:t>a</w:t>
      </w:r>
      <w:r>
        <w:rPr>
          <w:rFonts w:ascii="宋体" w:hAnsi="宋体"/>
          <w:color w:val="000000"/>
        </w:rPr>
        <w:t>和</w:t>
      </w:r>
      <w:r>
        <w:rPr>
          <w:rFonts w:eastAsia="Times New Roman" w:cs="Times New Roman"/>
          <w:color w:val="000000"/>
        </w:rPr>
        <w:t>d</w:t>
      </w:r>
      <w:r>
        <w:rPr>
          <w:rFonts w:ascii="宋体" w:hAnsi="宋体"/>
          <w:color w:val="000000"/>
        </w:rPr>
        <w:t>。已知各基因的</w:t>
      </w:r>
      <w:r>
        <w:rPr>
          <w:rFonts w:eastAsia="Times New Roman" w:cs="Times New Roman"/>
          <w:color w:val="000000"/>
        </w:rPr>
        <w:t>PCR</w:t>
      </w:r>
      <w:r>
        <w:rPr>
          <w:rFonts w:ascii="宋体" w:hAnsi="宋体"/>
          <w:color w:val="000000"/>
        </w:rPr>
        <w:t>产物通过电泳均可区分，各相对性状呈完全显隐性关系，不考虑突变和染色体互换。</w:t>
      </w:r>
    </w:p>
    <w:tbl>
      <w:tblPr>
        <w:tblW w:w="87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firstRow="1" w:lastRow="0" w:firstColumn="1" w:lastColumn="0" w:noHBand="0" w:noVBand="1"/>
      </w:tblPr>
      <w:tblGrid>
        <w:gridCol w:w="1023"/>
        <w:gridCol w:w="2200"/>
        <w:gridCol w:w="5494"/>
      </w:tblGrid>
      <w:tr w:rsidR="006A50FF" w14:paraId="293B3BB3" w14:textId="77777777">
        <w:trPr>
          <w:jc w:val="center"/>
        </w:trPr>
        <w:tc>
          <w:tcPr>
            <w:tcW w:w="1023"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8764B8D" w14:textId="77777777" w:rsidR="006A50FF" w:rsidRDefault="00000000">
            <w:pPr>
              <w:spacing w:line="360" w:lineRule="auto"/>
              <w:jc w:val="center"/>
              <w:textAlignment w:val="center"/>
              <w:rPr>
                <w:color w:val="000000"/>
              </w:rPr>
            </w:pPr>
            <w:r>
              <w:rPr>
                <w:rFonts w:ascii="宋体" w:hAnsi="宋体"/>
                <w:color w:val="000000"/>
              </w:rPr>
              <w:t>组别</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D3D1640" w14:textId="77777777" w:rsidR="006A50FF" w:rsidRDefault="00000000">
            <w:pPr>
              <w:spacing w:line="360" w:lineRule="auto"/>
              <w:jc w:val="center"/>
              <w:textAlignment w:val="center"/>
              <w:rPr>
                <w:color w:val="000000"/>
              </w:rPr>
            </w:pPr>
            <w:r>
              <w:rPr>
                <w:rFonts w:ascii="宋体" w:hAnsi="宋体"/>
                <w:color w:val="000000"/>
              </w:rPr>
              <w:t>亲本杂交组合</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B8B474C" w14:textId="77777777" w:rsidR="006A50FF" w:rsidRDefault="00000000">
            <w:pPr>
              <w:spacing w:line="360" w:lineRule="auto"/>
              <w:jc w:val="center"/>
              <w:textAlignment w:val="center"/>
              <w:rPr>
                <w:color w:val="000000"/>
              </w:rPr>
            </w:pPr>
            <w:r>
              <w:rPr>
                <w:rFonts w:eastAsia="Times New Roman" w:cs="Times New Roman"/>
                <w:color w:val="000000"/>
              </w:rPr>
              <w:t>F</w:t>
            </w:r>
            <w:r>
              <w:rPr>
                <w:color w:val="000000"/>
                <w:vertAlign w:val="subscript"/>
              </w:rPr>
              <w:t>1</w:t>
            </w:r>
            <w:r>
              <w:rPr>
                <w:rFonts w:ascii="宋体" w:hAnsi="宋体"/>
                <w:noProof/>
                <w:color w:val="000000"/>
              </w:rPr>
              <w:drawing>
                <wp:inline distT="0" distB="0" distL="114300" distR="114300" wp14:anchorId="4178E197" wp14:editId="5573433C">
                  <wp:extent cx="133350" cy="177800"/>
                  <wp:effectExtent l="0" t="0" r="0" b="13335"/>
                  <wp:docPr id="100023" name="图片 100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pic:cNvPicPr>
                            <a:picLocks noChangeAspect="1"/>
                          </pic:cNvPicPr>
                        </pic:nvPicPr>
                        <pic:blipFill>
                          <a:blip r:embed="rId14"/>
                          <a:stretch>
                            <a:fillRect/>
                          </a:stretch>
                        </pic:blipFill>
                        <pic:spPr>
                          <a:xfrm>
                            <a:off x="0" y="0"/>
                            <a:ext cx="133350" cy="177800"/>
                          </a:xfrm>
                          <a:prstGeom prst="rect">
                            <a:avLst/>
                          </a:prstGeom>
                        </pic:spPr>
                      </pic:pic>
                    </a:graphicData>
                  </a:graphic>
                </wp:inline>
              </w:drawing>
            </w:r>
            <w:r>
              <w:rPr>
                <w:rFonts w:ascii="宋体" w:hAnsi="宋体"/>
                <w:color w:val="000000"/>
              </w:rPr>
              <w:t>表型及比例。</w:t>
            </w:r>
          </w:p>
        </w:tc>
      </w:tr>
      <w:tr w:rsidR="006A50FF" w14:paraId="52D83A41" w14:textId="77777777">
        <w:trPr>
          <w:jc w:val="center"/>
        </w:trPr>
        <w:tc>
          <w:tcPr>
            <w:tcW w:w="1023"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06E1D10" w14:textId="77777777" w:rsidR="006A50FF" w:rsidRDefault="00000000">
            <w:pPr>
              <w:spacing w:line="360" w:lineRule="auto"/>
              <w:jc w:val="left"/>
              <w:textAlignment w:val="center"/>
              <w:rPr>
                <w:color w:val="000000"/>
              </w:rPr>
            </w:pPr>
            <w:r>
              <w:rPr>
                <w:rFonts w:ascii="宋体" w:hAnsi="宋体"/>
                <w:color w:val="000000"/>
              </w:rPr>
              <w:t>甲</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B5DE33F" w14:textId="77777777" w:rsidR="006A50FF" w:rsidRDefault="00000000">
            <w:pPr>
              <w:spacing w:line="360" w:lineRule="auto"/>
              <w:jc w:val="left"/>
              <w:textAlignment w:val="center"/>
              <w:rPr>
                <w:color w:val="000000"/>
              </w:rPr>
            </w:pPr>
            <w:r>
              <w:rPr>
                <w:rFonts w:ascii="宋体" w:hAnsi="宋体"/>
                <w:color w:val="000000"/>
              </w:rPr>
              <w:t>紫花矮茎黄粒</w:t>
            </w:r>
            <w:r>
              <w:rPr>
                <w:rFonts w:eastAsia="Times New Roman" w:cs="Times New Roman"/>
                <w:color w:val="000000"/>
              </w:rPr>
              <w:t>×</w:t>
            </w:r>
            <w:r>
              <w:rPr>
                <w:rFonts w:ascii="宋体" w:hAnsi="宋体"/>
                <w:color w:val="000000"/>
              </w:rPr>
              <w:t>红花高茎绿粒</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BE3F26E" w14:textId="77777777" w:rsidR="006A50FF" w:rsidRDefault="00000000">
            <w:pPr>
              <w:spacing w:line="360" w:lineRule="auto"/>
              <w:jc w:val="left"/>
              <w:textAlignment w:val="center"/>
              <w:rPr>
                <w:color w:val="000000"/>
              </w:rPr>
            </w:pPr>
            <w:r>
              <w:rPr>
                <w:rFonts w:ascii="宋体" w:hAnsi="宋体"/>
                <w:color w:val="000000"/>
              </w:rPr>
              <w:t>紫花高茎黄粒∶红花高茎绿粒∶紫花矮茎黄粒∶红花矮茎绿粒</w:t>
            </w:r>
            <w:r>
              <w:rPr>
                <w:rFonts w:eastAsia="Times New Roman" w:cs="Times New Roman"/>
                <w:color w:val="000000"/>
              </w:rPr>
              <w:t>=1</w:t>
            </w:r>
            <w:r>
              <w:rPr>
                <w:rFonts w:ascii="宋体" w:hAnsi="宋体"/>
                <w:color w:val="000000"/>
              </w:rPr>
              <w:t>∶</w:t>
            </w:r>
            <w:r>
              <w:rPr>
                <w:rFonts w:eastAsia="Times New Roman" w:cs="Times New Roman"/>
                <w:color w:val="000000"/>
              </w:rPr>
              <w:t>1</w:t>
            </w:r>
            <w:r>
              <w:rPr>
                <w:rFonts w:ascii="宋体" w:hAnsi="宋体"/>
                <w:color w:val="000000"/>
              </w:rPr>
              <w:t>∶</w:t>
            </w:r>
            <w:r>
              <w:rPr>
                <w:rFonts w:eastAsia="Times New Roman" w:cs="Times New Roman"/>
                <w:color w:val="000000"/>
              </w:rPr>
              <w:t>1</w:t>
            </w:r>
            <w:r>
              <w:rPr>
                <w:rFonts w:ascii="宋体" w:hAnsi="宋体"/>
                <w:color w:val="000000"/>
              </w:rPr>
              <w:t>∶</w:t>
            </w:r>
            <w:r>
              <w:rPr>
                <w:rFonts w:eastAsia="Times New Roman" w:cs="Times New Roman"/>
                <w:color w:val="000000"/>
              </w:rPr>
              <w:t>1</w:t>
            </w:r>
          </w:p>
        </w:tc>
      </w:tr>
      <w:tr w:rsidR="006A50FF" w14:paraId="722D9EC1" w14:textId="77777777">
        <w:trPr>
          <w:jc w:val="center"/>
        </w:trPr>
        <w:tc>
          <w:tcPr>
            <w:tcW w:w="1023"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C3FB6B7" w14:textId="77777777" w:rsidR="006A50FF" w:rsidRDefault="00000000">
            <w:pPr>
              <w:spacing w:line="360" w:lineRule="auto"/>
              <w:jc w:val="left"/>
              <w:textAlignment w:val="center"/>
              <w:rPr>
                <w:color w:val="000000"/>
              </w:rPr>
            </w:pPr>
            <w:r>
              <w:rPr>
                <w:rFonts w:ascii="宋体" w:hAnsi="宋体"/>
                <w:color w:val="000000"/>
              </w:rPr>
              <w:t>乙</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35161EC" w14:textId="77777777" w:rsidR="006A50FF" w:rsidRDefault="00000000">
            <w:pPr>
              <w:spacing w:line="360" w:lineRule="auto"/>
              <w:jc w:val="left"/>
              <w:textAlignment w:val="center"/>
              <w:rPr>
                <w:color w:val="000000"/>
              </w:rPr>
            </w:pPr>
            <w:r>
              <w:rPr>
                <w:rFonts w:ascii="宋体" w:hAnsi="宋体"/>
                <w:color w:val="000000"/>
              </w:rPr>
              <w:t>锯齿叶黄粒</w:t>
            </w:r>
            <w:r>
              <w:rPr>
                <w:rFonts w:eastAsia="Times New Roman" w:cs="Times New Roman"/>
                <w:color w:val="000000"/>
              </w:rPr>
              <w:t>×</w:t>
            </w:r>
            <w:r>
              <w:rPr>
                <w:rFonts w:ascii="宋体" w:hAnsi="宋体"/>
                <w:color w:val="000000"/>
              </w:rPr>
              <w:t>锯齿叶绿粒</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426739A" w14:textId="77777777" w:rsidR="006A50FF" w:rsidRDefault="00000000">
            <w:pPr>
              <w:spacing w:line="360" w:lineRule="auto"/>
              <w:jc w:val="left"/>
              <w:textAlignment w:val="center"/>
              <w:rPr>
                <w:color w:val="000000"/>
              </w:rPr>
            </w:pPr>
            <w:r>
              <w:rPr>
                <w:rFonts w:ascii="宋体" w:hAnsi="宋体"/>
                <w:color w:val="000000"/>
              </w:rPr>
              <w:t>全部为光滑叶黄粒</w:t>
            </w:r>
          </w:p>
        </w:tc>
      </w:tr>
    </w:tbl>
    <w:p w14:paraId="5B303AB6" w14:textId="77777777" w:rsidR="006A50FF" w:rsidRDefault="00000000">
      <w:pPr>
        <w:spacing w:line="360" w:lineRule="auto"/>
        <w:jc w:val="center"/>
        <w:textAlignment w:val="center"/>
        <w:rPr>
          <w:color w:val="000000"/>
        </w:rPr>
      </w:pPr>
      <w:r>
        <w:rPr>
          <w:noProof/>
          <w:color w:val="000000"/>
        </w:rPr>
        <w:drawing>
          <wp:inline distT="0" distB="0" distL="114300" distR="114300" wp14:anchorId="41E7256C" wp14:editId="5B9364CB">
            <wp:extent cx="2200275" cy="1352550"/>
            <wp:effectExtent l="0" t="0" r="9525" b="0"/>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r:embed="rId16"/>
                    <a:stretch>
                      <a:fillRect/>
                    </a:stretch>
                  </pic:blipFill>
                  <pic:spPr>
                    <a:xfrm>
                      <a:off x="0" y="0"/>
                      <a:ext cx="2200275" cy="1352550"/>
                    </a:xfrm>
                    <a:prstGeom prst="rect">
                      <a:avLst/>
                    </a:prstGeom>
                  </pic:spPr>
                </pic:pic>
              </a:graphicData>
            </a:graphic>
          </wp:inline>
        </w:drawing>
      </w:r>
    </w:p>
    <w:p w14:paraId="644947D5" w14:textId="77777777" w:rsidR="006A50FF" w:rsidRDefault="00000000">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据表分析，由同一对等位基因控制的</w:t>
      </w:r>
      <w:r>
        <w:rPr>
          <w:rFonts w:eastAsia="Times New Roman" w:cs="Times New Roman"/>
          <w:color w:val="000000"/>
        </w:rPr>
        <w:t>2</w:t>
      </w:r>
      <w:r>
        <w:rPr>
          <w:rFonts w:ascii="宋体" w:hAnsi="宋体"/>
          <w:color w:val="000000"/>
        </w:rPr>
        <w:t>种性状是</w:t>
      </w:r>
      <w:r>
        <w:rPr>
          <w:color w:val="000000"/>
        </w:rPr>
        <w:t>______</w:t>
      </w:r>
      <w:r>
        <w:rPr>
          <w:rFonts w:ascii="宋体" w:hAnsi="宋体"/>
          <w:color w:val="000000"/>
        </w:rPr>
        <w:t>，判断依据是</w:t>
      </w:r>
      <w:r>
        <w:rPr>
          <w:color w:val="000000"/>
        </w:rPr>
        <w:t>______</w:t>
      </w:r>
      <w:r>
        <w:rPr>
          <w:rFonts w:ascii="宋体" w:hAnsi="宋体"/>
          <w:color w:val="000000"/>
        </w:rPr>
        <w:t>。</w:t>
      </w:r>
    </w:p>
    <w:p w14:paraId="6A55AFE9" w14:textId="77777777" w:rsidR="006A50FF" w:rsidRDefault="00000000">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据表分析，甲组</w:t>
      </w:r>
      <w:r>
        <w:rPr>
          <w:rFonts w:eastAsia="Times New Roman" w:cs="Times New Roman"/>
          <w:color w:val="000000"/>
        </w:rPr>
        <w:t>F</w:t>
      </w:r>
      <w:r>
        <w:rPr>
          <w:color w:val="000000"/>
          <w:vertAlign w:val="subscript"/>
        </w:rPr>
        <w:t>1</w:t>
      </w:r>
      <w:r>
        <w:rPr>
          <w:rFonts w:ascii="宋体" w:hAnsi="宋体"/>
          <w:color w:val="000000"/>
        </w:rPr>
        <w:t>随机交配，若子代中高茎植株占比为</w:t>
      </w:r>
      <w:r>
        <w:rPr>
          <w:color w:val="000000"/>
        </w:rPr>
        <w:t>______</w:t>
      </w:r>
      <w:r>
        <w:rPr>
          <w:rFonts w:ascii="宋体" w:hAnsi="宋体"/>
          <w:color w:val="000000"/>
        </w:rPr>
        <w:t>，则能确定甲组中涉及的</w:t>
      </w:r>
      <w:r>
        <w:rPr>
          <w:rFonts w:eastAsia="Times New Roman" w:cs="Times New Roman"/>
          <w:color w:val="000000"/>
        </w:rPr>
        <w:t>2</w:t>
      </w:r>
      <w:r>
        <w:rPr>
          <w:rFonts w:ascii="宋体" w:hAnsi="宋体"/>
          <w:color w:val="000000"/>
        </w:rPr>
        <w:t>对等位基因独立遗传。</w:t>
      </w:r>
    </w:p>
    <w:p w14:paraId="744A6F4F" w14:textId="77777777" w:rsidR="006A50FF" w:rsidRDefault="00000000">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图中条带②代表的基因是</w:t>
      </w:r>
      <w:r>
        <w:rPr>
          <w:color w:val="000000"/>
        </w:rPr>
        <w:t>______</w:t>
      </w:r>
      <w:r>
        <w:rPr>
          <w:rFonts w:ascii="宋体" w:hAnsi="宋体"/>
          <w:color w:val="000000"/>
        </w:rPr>
        <w:t>；乙组中锯齿叶黄粒亲本的基因型为</w:t>
      </w:r>
      <w:r>
        <w:rPr>
          <w:color w:val="000000"/>
        </w:rPr>
        <w:t>______</w:t>
      </w:r>
      <w:r>
        <w:rPr>
          <w:rFonts w:ascii="宋体" w:hAnsi="宋体"/>
          <w:color w:val="000000"/>
        </w:rPr>
        <w:t>。若电泳图谱为类型Ⅰ，则被检测群体在</w:t>
      </w:r>
      <w:r>
        <w:rPr>
          <w:rFonts w:eastAsia="Times New Roman" w:cs="Times New Roman"/>
          <w:color w:val="000000"/>
        </w:rPr>
        <w:t>F</w:t>
      </w:r>
      <w:r>
        <w:rPr>
          <w:color w:val="000000"/>
          <w:vertAlign w:val="subscript"/>
        </w:rPr>
        <w:t>2</w:t>
      </w:r>
      <w:r>
        <w:rPr>
          <w:rFonts w:ascii="宋体" w:hAnsi="宋体"/>
          <w:color w:val="000000"/>
        </w:rPr>
        <w:t>中占比为</w:t>
      </w:r>
      <w:r>
        <w:rPr>
          <w:color w:val="000000"/>
        </w:rPr>
        <w:t>______</w:t>
      </w:r>
      <w:r>
        <w:rPr>
          <w:rFonts w:ascii="宋体" w:hAnsi="宋体"/>
          <w:color w:val="000000"/>
        </w:rPr>
        <w:t>。</w:t>
      </w:r>
    </w:p>
    <w:p w14:paraId="669D1897" w14:textId="77777777" w:rsidR="006A50FF" w:rsidRDefault="00000000">
      <w:pPr>
        <w:spacing w:line="360" w:lineRule="auto"/>
        <w:jc w:val="left"/>
        <w:textAlignment w:val="center"/>
        <w:rPr>
          <w:color w:val="000000"/>
        </w:rPr>
      </w:pPr>
      <w:r>
        <w:rPr>
          <w:color w:val="000000"/>
        </w:rPr>
        <w:t>（</w:t>
      </w:r>
      <w:r>
        <w:rPr>
          <w:color w:val="000000"/>
        </w:rPr>
        <w:t>4</w:t>
      </w:r>
      <w:r>
        <w:rPr>
          <w:color w:val="000000"/>
        </w:rPr>
        <w:t>）</w:t>
      </w:r>
      <w:r>
        <w:rPr>
          <w:rFonts w:ascii="宋体" w:hAnsi="宋体"/>
          <w:color w:val="000000"/>
        </w:rPr>
        <w:t>若电泳图谱为类型Ⅱ，只根据该结果还不能确定控制叶边缘形状和籽粒颜色的等位基因在染色体上的相对位置关系，需辅以对</w:t>
      </w:r>
      <w:r>
        <w:rPr>
          <w:rFonts w:eastAsia="Times New Roman" w:cs="Times New Roman"/>
          <w:color w:val="000000"/>
        </w:rPr>
        <w:t>F</w:t>
      </w:r>
      <w:r>
        <w:rPr>
          <w:color w:val="000000"/>
          <w:vertAlign w:val="subscript"/>
        </w:rPr>
        <w:t>2</w:t>
      </w:r>
      <w:r>
        <w:rPr>
          <w:rFonts w:ascii="宋体" w:hAnsi="宋体"/>
          <w:color w:val="000000"/>
        </w:rPr>
        <w:t>进行调查。已知调查时正值</w:t>
      </w:r>
      <w:r>
        <w:rPr>
          <w:rFonts w:eastAsia="Times New Roman" w:cs="Times New Roman"/>
          <w:color w:val="000000"/>
        </w:rPr>
        <w:t>F</w:t>
      </w:r>
      <w:r>
        <w:rPr>
          <w:color w:val="000000"/>
          <w:vertAlign w:val="subscript"/>
        </w:rPr>
        <w:t>2</w:t>
      </w:r>
      <w:r>
        <w:rPr>
          <w:rFonts w:ascii="宋体" w:hAnsi="宋体"/>
          <w:color w:val="000000"/>
        </w:rPr>
        <w:t>的花期，调查思路：</w:t>
      </w:r>
      <w:r>
        <w:rPr>
          <w:color w:val="000000"/>
        </w:rPr>
        <w:t>______</w:t>
      </w:r>
      <w:r>
        <w:rPr>
          <w:rFonts w:ascii="宋体" w:hAnsi="宋体"/>
          <w:color w:val="000000"/>
        </w:rPr>
        <w:t>；预期调查结果并得出结论：</w:t>
      </w:r>
      <w:r>
        <w:rPr>
          <w:color w:val="000000"/>
        </w:rPr>
        <w:t>______</w:t>
      </w:r>
      <w:r>
        <w:rPr>
          <w:rFonts w:ascii="宋体" w:hAnsi="宋体"/>
          <w:color w:val="000000"/>
        </w:rPr>
        <w:t>。（要求：仅根据表型预期调查结果，并简要描述结论）</w:t>
      </w:r>
    </w:p>
    <w:p w14:paraId="33C55277" w14:textId="77777777" w:rsidR="006A50FF" w:rsidRDefault="00000000">
      <w:pPr>
        <w:spacing w:line="360" w:lineRule="auto"/>
        <w:jc w:val="left"/>
        <w:textAlignment w:val="center"/>
        <w:rPr>
          <w:color w:val="000000"/>
        </w:rPr>
      </w:pPr>
      <w:r>
        <w:rPr>
          <w:color w:val="000000"/>
        </w:rPr>
        <w:t xml:space="preserve">23. </w:t>
      </w:r>
      <w:r>
        <w:rPr>
          <w:rFonts w:ascii="宋体" w:hAnsi="宋体"/>
          <w:color w:val="000000"/>
        </w:rPr>
        <w:t>由肝细胞合成分泌、胆囊储存释放的胆汁属于消化液，其分泌与释放的调节方式如图所示。</w:t>
      </w:r>
    </w:p>
    <w:p w14:paraId="33F97181" w14:textId="77777777" w:rsidR="006A50FF" w:rsidRDefault="00000000">
      <w:pPr>
        <w:spacing w:line="360" w:lineRule="auto"/>
        <w:jc w:val="center"/>
        <w:textAlignment w:val="center"/>
        <w:rPr>
          <w:color w:val="000000"/>
        </w:rPr>
      </w:pPr>
      <w:r>
        <w:rPr>
          <w:noProof/>
          <w:color w:val="000000"/>
        </w:rPr>
        <w:lastRenderedPageBreak/>
        <w:drawing>
          <wp:inline distT="0" distB="0" distL="114300" distR="114300" wp14:anchorId="408EA14E" wp14:editId="3ACEF3D8">
            <wp:extent cx="5238750" cy="1363980"/>
            <wp:effectExtent l="0" t="0" r="0" b="0"/>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r:embed="rId17"/>
                    <a:stretch>
                      <a:fillRect/>
                    </a:stretch>
                  </pic:blipFill>
                  <pic:spPr>
                    <a:xfrm>
                      <a:off x="0" y="0"/>
                      <a:ext cx="5238750" cy="1364129"/>
                    </a:xfrm>
                    <a:prstGeom prst="rect">
                      <a:avLst/>
                    </a:prstGeom>
                  </pic:spPr>
                </pic:pic>
              </a:graphicData>
            </a:graphic>
          </wp:inline>
        </w:drawing>
      </w:r>
    </w:p>
    <w:p w14:paraId="03842647" w14:textId="77777777" w:rsidR="006A50FF" w:rsidRDefault="00000000">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图中所示的调节过程中，迷走神经对肝细胞分泌胆汁的调节属于神经调节，说明肝细胞表面有</w:t>
      </w:r>
      <w:r>
        <w:rPr>
          <w:color w:val="000000"/>
        </w:rPr>
        <w:t>______</w:t>
      </w:r>
      <w:r>
        <w:rPr>
          <w:rFonts w:ascii="宋体" w:hAnsi="宋体"/>
          <w:color w:val="000000"/>
        </w:rPr>
        <w:t>。肝细胞受到信号刺激后，发生动作电位，此时膜两侧电位表现为</w:t>
      </w:r>
      <w:r>
        <w:rPr>
          <w:color w:val="000000"/>
        </w:rPr>
        <w:t>______</w:t>
      </w:r>
      <w:r>
        <w:rPr>
          <w:rFonts w:ascii="宋体" w:hAnsi="宋体"/>
          <w:color w:val="000000"/>
        </w:rPr>
        <w:t>。</w:t>
      </w:r>
    </w:p>
    <w:p w14:paraId="7FBD1F0C" w14:textId="77777777" w:rsidR="006A50FF" w:rsidRDefault="00000000">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机体血浆中大多数蛋白质由肝细胞合成。肝细胞合成功能发生障碍时，组织液的量</w:t>
      </w:r>
      <w:r>
        <w:rPr>
          <w:color w:val="000000"/>
        </w:rPr>
        <w:t>______</w:t>
      </w:r>
      <w:r>
        <w:rPr>
          <w:rFonts w:ascii="宋体" w:hAnsi="宋体"/>
          <w:color w:val="000000"/>
        </w:rPr>
        <w:t>（填“增加”或“减少”）。临床上可用药物</w:t>
      </w:r>
      <w:r>
        <w:rPr>
          <w:rFonts w:eastAsia="Times New Roman" w:cs="Times New Roman"/>
          <w:color w:val="000000"/>
        </w:rPr>
        <w:t>A</w:t>
      </w:r>
      <w:r>
        <w:rPr>
          <w:rFonts w:ascii="宋体" w:hAnsi="宋体"/>
          <w:color w:val="000000"/>
        </w:rPr>
        <w:t>竞争性结合醛固酮受体增加尿量，以达到治疗效果，从水盐调节角度分析，该治疗方法使组织液的量恢复正常的机制为</w:t>
      </w:r>
      <w:r>
        <w:rPr>
          <w:color w:val="000000"/>
        </w:rPr>
        <w:t>______</w:t>
      </w:r>
      <w:r>
        <w:rPr>
          <w:rFonts w:ascii="宋体" w:hAnsi="宋体"/>
          <w:color w:val="000000"/>
        </w:rPr>
        <w:t>。</w:t>
      </w:r>
    </w:p>
    <w:p w14:paraId="155D047A" w14:textId="77777777" w:rsidR="006A50FF" w:rsidRDefault="00000000">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为研究下丘脑所在通路胆汁释放量是否受小肠Ⅰ细胞所在通路的影响，据图设计以下实验，已知注射各试剂所用溶剂对实验检测指标无影响。</w:t>
      </w:r>
    </w:p>
    <w:p w14:paraId="2C816C33" w14:textId="77777777" w:rsidR="006A50FF" w:rsidRDefault="00000000">
      <w:pPr>
        <w:spacing w:line="360" w:lineRule="auto"/>
        <w:jc w:val="left"/>
        <w:textAlignment w:val="center"/>
        <w:rPr>
          <w:color w:val="000000"/>
        </w:rPr>
      </w:pPr>
      <w:r>
        <w:rPr>
          <w:rFonts w:ascii="宋体" w:hAnsi="宋体"/>
          <w:color w:val="000000"/>
        </w:rPr>
        <w:t>实验处理：一组小鼠不做注射处理，另一组小鼠注射</w:t>
      </w:r>
      <w:r>
        <w:rPr>
          <w:color w:val="000000"/>
        </w:rPr>
        <w:t>______</w:t>
      </w:r>
      <w:r>
        <w:rPr>
          <w:rFonts w:ascii="宋体" w:hAnsi="宋体"/>
          <w:color w:val="000000"/>
        </w:rPr>
        <w:t>（填序号）。①</w:t>
      </w:r>
      <w:r>
        <w:rPr>
          <w:rFonts w:eastAsia="Times New Roman" w:cs="Times New Roman"/>
          <w:color w:val="000000"/>
        </w:rPr>
        <w:t>ACh</w:t>
      </w:r>
      <w:r>
        <w:rPr>
          <w:rFonts w:ascii="宋体" w:hAnsi="宋体"/>
          <w:color w:val="000000"/>
        </w:rPr>
        <w:t>抑制剂②</w:t>
      </w:r>
      <w:r>
        <w:rPr>
          <w:rFonts w:eastAsia="Times New Roman" w:cs="Times New Roman"/>
          <w:color w:val="000000"/>
        </w:rPr>
        <w:t>CCK</w:t>
      </w:r>
      <w:r>
        <w:rPr>
          <w:rFonts w:ascii="宋体" w:hAnsi="宋体"/>
          <w:color w:val="000000"/>
        </w:rPr>
        <w:t>抗体③</w:t>
      </w:r>
      <w:r>
        <w:rPr>
          <w:rFonts w:eastAsia="Times New Roman" w:cs="Times New Roman"/>
          <w:color w:val="000000"/>
        </w:rPr>
        <w:t>ACh</w:t>
      </w:r>
      <w:r>
        <w:rPr>
          <w:rFonts w:ascii="宋体" w:hAnsi="宋体"/>
          <w:color w:val="000000"/>
        </w:rPr>
        <w:t>抑制剂</w:t>
      </w:r>
      <w:r>
        <w:rPr>
          <w:rFonts w:eastAsia="Times New Roman" w:cs="Times New Roman"/>
          <w:color w:val="000000"/>
        </w:rPr>
        <w:t>+CCK</w:t>
      </w:r>
      <w:r>
        <w:rPr>
          <w:rFonts w:ascii="宋体" w:hAnsi="宋体"/>
          <w:color w:val="000000"/>
        </w:rPr>
        <w:t>抗体</w:t>
      </w:r>
    </w:p>
    <w:p w14:paraId="7C20BCFC" w14:textId="77777777" w:rsidR="006A50FF" w:rsidRDefault="00000000">
      <w:pPr>
        <w:spacing w:line="360" w:lineRule="auto"/>
        <w:jc w:val="left"/>
        <w:textAlignment w:val="center"/>
        <w:rPr>
          <w:color w:val="000000"/>
        </w:rPr>
      </w:pPr>
      <w:r>
        <w:rPr>
          <w:rFonts w:ascii="宋体" w:hAnsi="宋体"/>
          <w:color w:val="000000"/>
        </w:rPr>
        <w:t>检测指标：检测两组小鼠的</w:t>
      </w:r>
      <w:r>
        <w:rPr>
          <w:color w:val="000000"/>
        </w:rPr>
        <w:t>______</w:t>
      </w:r>
      <w:r>
        <w:rPr>
          <w:rFonts w:ascii="宋体" w:hAnsi="宋体"/>
          <w:color w:val="000000"/>
        </w:rPr>
        <w:t>。</w:t>
      </w:r>
    </w:p>
    <w:p w14:paraId="0EFF154C" w14:textId="77777777" w:rsidR="006A50FF" w:rsidRDefault="00000000">
      <w:pPr>
        <w:spacing w:line="360" w:lineRule="auto"/>
        <w:jc w:val="left"/>
        <w:textAlignment w:val="center"/>
        <w:rPr>
          <w:color w:val="000000"/>
        </w:rPr>
      </w:pPr>
      <w:r>
        <w:rPr>
          <w:rFonts w:ascii="宋体" w:hAnsi="宋体"/>
          <w:color w:val="000000"/>
        </w:rPr>
        <w:t>实验结果及结论：若检测指标无差异，则下丘脑所在通路不受影响。</w:t>
      </w:r>
    </w:p>
    <w:p w14:paraId="6AE0C0ED" w14:textId="77777777" w:rsidR="006A50FF" w:rsidRDefault="00000000">
      <w:pPr>
        <w:spacing w:line="360" w:lineRule="auto"/>
        <w:jc w:val="left"/>
        <w:textAlignment w:val="center"/>
        <w:rPr>
          <w:color w:val="000000"/>
        </w:rPr>
      </w:pPr>
      <w:r>
        <w:rPr>
          <w:color w:val="000000"/>
        </w:rPr>
        <w:t xml:space="preserve">24. </w:t>
      </w:r>
      <w:r>
        <w:rPr>
          <w:rFonts w:ascii="宋体" w:hAnsi="宋体"/>
          <w:color w:val="000000"/>
        </w:rPr>
        <w:t>研究群落时，不仅要调查群落的物种丰富度，还要比较不同群落的物种组成。</w:t>
      </w:r>
      <w:r>
        <w:rPr>
          <w:rFonts w:eastAsia="Times New Roman" w:cs="Times New Roman"/>
          <w:color w:val="000000"/>
        </w:rPr>
        <w:t>β</w:t>
      </w:r>
      <w:r>
        <w:rPr>
          <w:rFonts w:ascii="宋体" w:hAnsi="宋体"/>
          <w:color w:val="000000"/>
        </w:rPr>
        <w:t>多样性是指某特定时间点，沿某一环境因素梯度，不同群落间物种组成的变化。它可用群落</w:t>
      </w:r>
      <w:r>
        <w:rPr>
          <w:rFonts w:eastAsia="Times New Roman" w:cs="Times New Roman"/>
          <w:color w:val="000000"/>
        </w:rPr>
        <w:t>a</w:t>
      </w:r>
      <w:r>
        <w:rPr>
          <w:rFonts w:ascii="宋体" w:hAnsi="宋体"/>
          <w:color w:val="000000"/>
        </w:rPr>
        <w:t>和群落</w:t>
      </w:r>
      <w:r>
        <w:rPr>
          <w:rFonts w:eastAsia="Times New Roman" w:cs="Times New Roman"/>
          <w:color w:val="000000"/>
        </w:rPr>
        <w:t>b</w:t>
      </w:r>
      <w:r>
        <w:rPr>
          <w:rFonts w:ascii="宋体" w:hAnsi="宋体"/>
          <w:color w:val="000000"/>
        </w:rPr>
        <w:t>的独有物种数之和与群落</w:t>
      </w:r>
      <w:r>
        <w:rPr>
          <w:rFonts w:eastAsia="Times New Roman" w:cs="Times New Roman"/>
          <w:color w:val="000000"/>
        </w:rPr>
        <w:t>a</w:t>
      </w:r>
      <w:r>
        <w:rPr>
          <w:rFonts w:ascii="宋体" w:hAnsi="宋体"/>
          <w:color w:val="000000"/>
        </w:rPr>
        <w:t>、</w:t>
      </w:r>
      <w:r>
        <w:rPr>
          <w:rFonts w:eastAsia="Times New Roman" w:cs="Times New Roman"/>
          <w:color w:val="000000"/>
        </w:rPr>
        <w:t>b</w:t>
      </w:r>
      <w:r>
        <w:rPr>
          <w:rFonts w:ascii="宋体" w:hAnsi="宋体"/>
          <w:color w:val="000000"/>
        </w:rPr>
        <w:t>各自的物种数之和的比值表示。</w:t>
      </w:r>
    </w:p>
    <w:p w14:paraId="4B562667" w14:textId="77777777" w:rsidR="006A50FF" w:rsidRDefault="00000000">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群落甲中冷杉的数量很多，据此</w:t>
      </w:r>
      <w:r>
        <w:rPr>
          <w:color w:val="000000"/>
        </w:rPr>
        <w:t>______</w:t>
      </w:r>
      <w:r>
        <w:rPr>
          <w:rFonts w:ascii="宋体" w:hAnsi="宋体"/>
          <w:color w:val="000000"/>
        </w:rPr>
        <w:t>（填“能”或“不能”）判断冷杉在该群落中是否占据优势。群落甲中冷杉在不同地段的种群密度不同，这体现了群落空间结构中的</w:t>
      </w:r>
      <w:r>
        <w:rPr>
          <w:color w:val="000000"/>
        </w:rPr>
        <w:t>______</w:t>
      </w:r>
      <w:r>
        <w:rPr>
          <w:rFonts w:ascii="宋体" w:hAnsi="宋体"/>
          <w:color w:val="000000"/>
        </w:rPr>
        <w:t>。从协同进化的角度分析，冷杉在群落甲中能占据相对稳定生态位的原因是</w:t>
      </w:r>
      <w:r>
        <w:rPr>
          <w:color w:val="000000"/>
        </w:rPr>
        <w:t>______</w:t>
      </w:r>
      <w:r>
        <w:rPr>
          <w:rFonts w:ascii="宋体" w:hAnsi="宋体"/>
          <w:color w:val="000000"/>
        </w:rPr>
        <w:t>。</w:t>
      </w:r>
    </w:p>
    <w:p w14:paraId="430C233F" w14:textId="77777777" w:rsidR="006A50FF" w:rsidRDefault="00000000">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群落甲、乙的物种丰富度分别为</w:t>
      </w:r>
      <w:r>
        <w:rPr>
          <w:rFonts w:eastAsia="Times New Roman" w:cs="Times New Roman"/>
          <w:color w:val="000000"/>
        </w:rPr>
        <w:t>70</w:t>
      </w:r>
      <w:r>
        <w:rPr>
          <w:rFonts w:ascii="宋体" w:hAnsi="宋体"/>
          <w:color w:val="000000"/>
        </w:rPr>
        <w:t>和</w:t>
      </w:r>
      <w:r>
        <w:rPr>
          <w:rFonts w:eastAsia="Times New Roman" w:cs="Times New Roman"/>
          <w:color w:val="000000"/>
        </w:rPr>
        <w:t>80</w:t>
      </w:r>
      <w:r>
        <w:rPr>
          <w:rFonts w:ascii="宋体" w:hAnsi="宋体"/>
          <w:color w:val="000000"/>
        </w:rPr>
        <w:t>，两群落之间的</w:t>
      </w:r>
      <w:r>
        <w:rPr>
          <w:rFonts w:eastAsia="Times New Roman" w:cs="Times New Roman"/>
          <w:color w:val="000000"/>
        </w:rPr>
        <w:t>β</w:t>
      </w:r>
      <w:r>
        <w:rPr>
          <w:rFonts w:ascii="宋体" w:hAnsi="宋体"/>
          <w:color w:val="000000"/>
        </w:rPr>
        <w:t>多样性为</w:t>
      </w:r>
      <w:r>
        <w:rPr>
          <w:rFonts w:eastAsia="Times New Roman" w:cs="Times New Roman"/>
          <w:color w:val="000000"/>
        </w:rPr>
        <w:t>0.4</w:t>
      </w:r>
      <w:r>
        <w:rPr>
          <w:rFonts w:ascii="宋体" w:hAnsi="宋体"/>
          <w:color w:val="000000"/>
        </w:rPr>
        <w:t>，则两群落的共有物种数为</w:t>
      </w:r>
      <w:r>
        <w:rPr>
          <w:color w:val="000000"/>
        </w:rPr>
        <w:t>______</w:t>
      </w:r>
      <w:r>
        <w:rPr>
          <w:rFonts w:ascii="宋体" w:hAnsi="宋体"/>
          <w:color w:val="000000"/>
        </w:rPr>
        <w:t>（填数字）。</w:t>
      </w:r>
    </w:p>
    <w:p w14:paraId="43B0FBF5" w14:textId="77777777" w:rsidR="006A50FF" w:rsidRDefault="00000000">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根据</w:t>
      </w:r>
      <w:r>
        <w:rPr>
          <w:rFonts w:eastAsia="Times New Roman" w:cs="Times New Roman"/>
          <w:color w:val="000000"/>
        </w:rPr>
        <w:t>β</w:t>
      </w:r>
      <w:r>
        <w:rPr>
          <w:rFonts w:ascii="宋体" w:hAnsi="宋体"/>
          <w:color w:val="000000"/>
        </w:rPr>
        <w:t>多样性可以科学合理规划自然保护区以维系物种多样性。</w:t>
      </w:r>
      <w:r>
        <w:rPr>
          <w:rFonts w:ascii="宋体" w:hAnsi="宋体"/>
          <w:color w:val="000000"/>
        </w:rPr>
        <w:lastRenderedPageBreak/>
        <w:t>群落丙、丁的物种丰富度分别为</w:t>
      </w:r>
      <w:r>
        <w:rPr>
          <w:rFonts w:eastAsia="Times New Roman" w:cs="Times New Roman"/>
          <w:color w:val="000000"/>
        </w:rPr>
        <w:t>56</w:t>
      </w:r>
      <w:r>
        <w:rPr>
          <w:rFonts w:ascii="宋体" w:hAnsi="宋体"/>
          <w:color w:val="000000"/>
        </w:rPr>
        <w:t>和</w:t>
      </w:r>
      <w:r>
        <w:rPr>
          <w:rFonts w:eastAsia="Times New Roman" w:cs="Times New Roman"/>
          <w:color w:val="000000"/>
        </w:rPr>
        <w:t>98</w:t>
      </w:r>
      <w:r>
        <w:rPr>
          <w:rFonts w:ascii="宋体" w:hAnsi="宋体"/>
          <w:color w:val="000000"/>
        </w:rPr>
        <w:t>，若两群落之间的</w:t>
      </w:r>
      <w:r>
        <w:rPr>
          <w:rFonts w:eastAsia="Times New Roman" w:cs="Times New Roman"/>
          <w:color w:val="000000"/>
        </w:rPr>
        <w:t>β</w:t>
      </w:r>
      <w:r>
        <w:rPr>
          <w:rFonts w:ascii="宋体" w:hAnsi="宋体"/>
          <w:color w:val="000000"/>
        </w:rPr>
        <w:t>多样性高，则应该在群落</w:t>
      </w:r>
      <w:r>
        <w:rPr>
          <w:color w:val="000000"/>
        </w:rPr>
        <w:t>______</w:t>
      </w:r>
      <w:r>
        <w:rPr>
          <w:rFonts w:ascii="宋体" w:hAnsi="宋体"/>
          <w:color w:val="000000"/>
        </w:rPr>
        <w:t>（填“丙”“丁”或“丙和丁”）建立自然保护区，理由是</w:t>
      </w:r>
      <w:r>
        <w:rPr>
          <w:color w:val="000000"/>
        </w:rPr>
        <w:t>______</w:t>
      </w:r>
      <w:r>
        <w:rPr>
          <w:rFonts w:ascii="宋体" w:hAnsi="宋体"/>
          <w:color w:val="000000"/>
        </w:rPr>
        <w:t>。</w:t>
      </w:r>
    </w:p>
    <w:p w14:paraId="77BEB832" w14:textId="77777777" w:rsidR="006A50FF" w:rsidRDefault="00000000">
      <w:pPr>
        <w:spacing w:line="360" w:lineRule="auto"/>
        <w:jc w:val="left"/>
        <w:textAlignment w:val="center"/>
        <w:rPr>
          <w:color w:val="000000"/>
        </w:rPr>
      </w:pPr>
      <w:r>
        <w:rPr>
          <w:color w:val="000000"/>
        </w:rPr>
        <w:t xml:space="preserve">25. </w:t>
      </w:r>
      <w:r>
        <w:rPr>
          <w:rFonts w:ascii="宋体" w:hAnsi="宋体"/>
          <w:color w:val="000000"/>
        </w:rPr>
        <w:t>研究发现基因</w:t>
      </w:r>
      <w:r>
        <w:rPr>
          <w:rFonts w:eastAsia="Times New Roman" w:cs="Times New Roman"/>
          <w:color w:val="000000"/>
        </w:rPr>
        <w:t>L</w:t>
      </w:r>
      <w:r>
        <w:rPr>
          <w:rFonts w:ascii="宋体" w:hAnsi="宋体"/>
          <w:color w:val="000000"/>
        </w:rPr>
        <w:t>能够通过脱落酸信号途径调控大豆的逆境响应。利用基因工程技术编辑基因</w:t>
      </w:r>
      <w:r>
        <w:rPr>
          <w:rFonts w:eastAsia="Times New Roman" w:cs="Times New Roman"/>
          <w:color w:val="000000"/>
        </w:rPr>
        <w:t>L</w:t>
      </w:r>
      <w:r>
        <w:rPr>
          <w:rFonts w:ascii="宋体" w:hAnsi="宋体"/>
          <w:color w:val="000000"/>
        </w:rPr>
        <w:t>，可培育耐盐碱大豆品系。在载体上的限制酶</w:t>
      </w:r>
      <w:r>
        <w:rPr>
          <w:rFonts w:eastAsia="Times New Roman" w:cs="Times New Roman"/>
          <w:color w:val="000000"/>
        </w:rPr>
        <w:t>BsaI</w:t>
      </w:r>
      <w:r>
        <w:rPr>
          <w:rFonts w:ascii="宋体" w:hAnsi="宋体"/>
          <w:color w:val="000000"/>
        </w:rPr>
        <w:t>切点处插入大豆基因</w:t>
      </w:r>
      <w:r>
        <w:rPr>
          <w:rFonts w:eastAsia="Times New Roman" w:cs="Times New Roman"/>
          <w:color w:val="000000"/>
        </w:rPr>
        <w:t>L</w:t>
      </w:r>
      <w:r>
        <w:rPr>
          <w:rFonts w:ascii="宋体" w:hAnsi="宋体"/>
          <w:color w:val="000000"/>
        </w:rPr>
        <w:t>的向导</w:t>
      </w:r>
      <w:r>
        <w:rPr>
          <w:rFonts w:eastAsia="Times New Roman" w:cs="Times New Roman"/>
          <w:color w:val="000000"/>
        </w:rPr>
        <w:t>DNA</w:t>
      </w:r>
      <w:r>
        <w:rPr>
          <w:rFonts w:ascii="宋体" w:hAnsi="宋体"/>
          <w:color w:val="000000"/>
        </w:rPr>
        <w:t>序列，将载体导入大豆细胞后，其转录产物可引导核酸酶特异性结合基因组上的目标序列并发挥作用。载体信息、目标基因</w:t>
      </w:r>
      <w:r>
        <w:rPr>
          <w:rFonts w:eastAsia="Times New Roman" w:cs="Times New Roman"/>
          <w:color w:val="000000"/>
        </w:rPr>
        <w:t>L</w:t>
      </w:r>
      <w:r>
        <w:rPr>
          <w:rFonts w:ascii="宋体" w:hAnsi="宋体"/>
          <w:color w:val="000000"/>
        </w:rPr>
        <w:t>部分序列及相关结果等如图所示。</w:t>
      </w:r>
    </w:p>
    <w:p w14:paraId="6AAD6054" w14:textId="77777777" w:rsidR="006A50FF" w:rsidRDefault="00000000">
      <w:pPr>
        <w:spacing w:line="360" w:lineRule="auto"/>
        <w:jc w:val="center"/>
        <w:textAlignment w:val="center"/>
        <w:rPr>
          <w:color w:val="000000"/>
        </w:rPr>
      </w:pPr>
      <w:r>
        <w:rPr>
          <w:noProof/>
          <w:color w:val="000000"/>
        </w:rPr>
        <w:drawing>
          <wp:inline distT="0" distB="0" distL="114300" distR="114300" wp14:anchorId="306D7C63" wp14:editId="7349B069">
            <wp:extent cx="4924425" cy="3600450"/>
            <wp:effectExtent l="0" t="0" r="9525" b="0"/>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r:embed="rId18"/>
                    <a:stretch>
                      <a:fillRect/>
                    </a:stretch>
                  </pic:blipFill>
                  <pic:spPr>
                    <a:xfrm>
                      <a:off x="0" y="0"/>
                      <a:ext cx="4924425" cy="3600450"/>
                    </a:xfrm>
                    <a:prstGeom prst="rect">
                      <a:avLst/>
                    </a:prstGeom>
                  </pic:spPr>
                </pic:pic>
              </a:graphicData>
            </a:graphic>
          </wp:inline>
        </w:drawing>
      </w:r>
    </w:p>
    <w:p w14:paraId="1855749F" w14:textId="77777777" w:rsidR="006A50FF" w:rsidRDefault="00000000">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用</w:t>
      </w:r>
      <w:r>
        <w:rPr>
          <w:rFonts w:eastAsia="Times New Roman" w:cs="Times New Roman"/>
          <w:color w:val="000000"/>
        </w:rPr>
        <w:t>PCR</w:t>
      </w:r>
      <w:r>
        <w:rPr>
          <w:rFonts w:ascii="宋体" w:hAnsi="宋体"/>
          <w:color w:val="000000"/>
        </w:rPr>
        <w:t>技术从大豆基因组</w:t>
      </w:r>
      <w:r>
        <w:rPr>
          <w:rFonts w:eastAsia="Times New Roman" w:cs="Times New Roman"/>
          <w:color w:val="000000"/>
        </w:rPr>
        <w:t>DNA</w:t>
      </w:r>
      <w:r>
        <w:rPr>
          <w:rFonts w:ascii="宋体" w:hAnsi="宋体"/>
          <w:color w:val="000000"/>
        </w:rPr>
        <w:t>中扩增目标基因</w:t>
      </w:r>
      <w:r>
        <w:rPr>
          <w:rFonts w:eastAsia="Times New Roman" w:cs="Times New Roman"/>
          <w:color w:val="000000"/>
        </w:rPr>
        <w:t>L</w:t>
      </w:r>
      <w:r>
        <w:rPr>
          <w:rFonts w:ascii="宋体" w:hAnsi="宋体"/>
          <w:color w:val="000000"/>
        </w:rPr>
        <w:t>时，所用的引物越短，引物特异性越</w:t>
      </w:r>
      <w:r>
        <w:rPr>
          <w:color w:val="000000"/>
        </w:rPr>
        <w:t>______</w:t>
      </w:r>
      <w:r>
        <w:rPr>
          <w:rFonts w:ascii="宋体" w:hAnsi="宋体"/>
          <w:color w:val="000000"/>
        </w:rPr>
        <w:t>（填“高”或“低”）。限制酶在切开</w:t>
      </w:r>
      <w:r>
        <w:rPr>
          <w:rFonts w:eastAsia="Times New Roman" w:cs="Times New Roman"/>
          <w:color w:val="000000"/>
        </w:rPr>
        <w:t>DNA</w:t>
      </w:r>
      <w:r>
        <w:rPr>
          <w:rFonts w:ascii="宋体" w:hAnsi="宋体"/>
          <w:color w:val="000000"/>
        </w:rPr>
        <w:t>双链时，形成的单链突出末端为黏性末端，若用</w:t>
      </w:r>
      <w:r>
        <w:rPr>
          <w:rFonts w:eastAsia="Times New Roman" w:cs="Times New Roman"/>
          <w:color w:val="000000"/>
        </w:rPr>
        <w:t>BsaI</w:t>
      </w:r>
      <w:r>
        <w:rPr>
          <w:rFonts w:ascii="宋体" w:hAnsi="宋体"/>
          <w:color w:val="000000"/>
        </w:rPr>
        <w:t>酶切大豆基因组</w:t>
      </w:r>
      <w:r>
        <w:rPr>
          <w:rFonts w:eastAsia="Times New Roman" w:cs="Times New Roman"/>
          <w:color w:val="000000"/>
        </w:rPr>
        <w:t>DNA</w:t>
      </w:r>
      <w:r>
        <w:rPr>
          <w:rFonts w:ascii="宋体" w:hAnsi="宋体"/>
          <w:color w:val="000000"/>
        </w:rPr>
        <w:t>，理论上可产生的黏性末端最多有</w:t>
      </w:r>
      <w:r>
        <w:rPr>
          <w:color w:val="000000"/>
        </w:rPr>
        <w:t>______</w:t>
      </w:r>
      <w:r>
        <w:rPr>
          <w:rFonts w:ascii="宋体" w:hAnsi="宋体"/>
          <w:color w:val="000000"/>
        </w:rPr>
        <w:t>种。载体信息如图甲所示，经</w:t>
      </w:r>
      <w:r>
        <w:rPr>
          <w:rFonts w:eastAsia="Times New Roman" w:cs="Times New Roman"/>
          <w:color w:val="000000"/>
        </w:rPr>
        <w:t>BsaI</w:t>
      </w:r>
      <w:r>
        <w:rPr>
          <w:rFonts w:ascii="宋体" w:hAnsi="宋体"/>
          <w:color w:val="000000"/>
        </w:rPr>
        <w:t>酶切后，载体上保留的黏性末端序列应为</w:t>
      </w:r>
      <w:r>
        <w:rPr>
          <w:rFonts w:eastAsia="Times New Roman" w:cs="Times New Roman"/>
          <w:color w:val="000000"/>
        </w:rPr>
        <w:t>5'-</w:t>
      </w:r>
      <w:r>
        <w:rPr>
          <w:color w:val="000000"/>
        </w:rPr>
        <w:t>______</w:t>
      </w:r>
      <w:r>
        <w:rPr>
          <w:rFonts w:eastAsia="Times New Roman" w:cs="Times New Roman"/>
          <w:color w:val="000000"/>
        </w:rPr>
        <w:t>-3'</w:t>
      </w:r>
      <w:r>
        <w:rPr>
          <w:rFonts w:ascii="宋体" w:hAnsi="宋体"/>
          <w:color w:val="000000"/>
        </w:rPr>
        <w:t>和</w:t>
      </w:r>
      <w:r>
        <w:rPr>
          <w:rFonts w:eastAsia="Times New Roman" w:cs="Times New Roman"/>
          <w:color w:val="000000"/>
        </w:rPr>
        <w:t>5'-</w:t>
      </w:r>
      <w:r>
        <w:rPr>
          <w:color w:val="000000"/>
        </w:rPr>
        <w:t>______</w:t>
      </w:r>
      <w:r>
        <w:rPr>
          <w:rFonts w:eastAsia="Times New Roman" w:cs="Times New Roman"/>
          <w:color w:val="000000"/>
        </w:rPr>
        <w:t>-3'</w:t>
      </w:r>
      <w:r>
        <w:rPr>
          <w:rFonts w:ascii="宋体" w:hAnsi="宋体"/>
          <w:color w:val="000000"/>
        </w:rPr>
        <w:t>。</w:t>
      </w:r>
    </w:p>
    <w:p w14:paraId="2167C624" w14:textId="77777777" w:rsidR="006A50FF" w:rsidRDefault="00000000">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重组载体通过农杆菌导入大豆细胞，使用抗生素</w:t>
      </w:r>
      <w:r>
        <w:rPr>
          <w:color w:val="000000"/>
        </w:rPr>
        <w:t>______</w:t>
      </w:r>
      <w:r>
        <w:rPr>
          <w:rFonts w:ascii="宋体" w:hAnsi="宋体"/>
          <w:color w:val="000000"/>
        </w:rPr>
        <w:t>筛选到具有该抗生素抗性的植株①∶④。为了鉴定基因编辑是否成功，以上述抗性植株的</w:t>
      </w:r>
      <w:r>
        <w:rPr>
          <w:rFonts w:eastAsia="Times New Roman" w:cs="Times New Roman"/>
          <w:color w:val="000000"/>
        </w:rPr>
        <w:t>DNA</w:t>
      </w:r>
      <w:r>
        <w:rPr>
          <w:rFonts w:ascii="宋体" w:hAnsi="宋体"/>
          <w:color w:val="000000"/>
        </w:rPr>
        <w:t>为模板，通过</w:t>
      </w:r>
      <w:r>
        <w:rPr>
          <w:rFonts w:eastAsia="Times New Roman" w:cs="Times New Roman"/>
          <w:color w:val="000000"/>
        </w:rPr>
        <w:t>PCR</w:t>
      </w:r>
      <w:r>
        <w:rPr>
          <w:rFonts w:ascii="宋体" w:hAnsi="宋体"/>
          <w:color w:val="000000"/>
        </w:rPr>
        <w:t>扩增目标基因</w:t>
      </w:r>
      <w:r>
        <w:rPr>
          <w:rFonts w:eastAsia="Times New Roman" w:cs="Times New Roman"/>
          <w:color w:val="000000"/>
        </w:rPr>
        <w:t>L</w:t>
      </w:r>
      <w:r>
        <w:rPr>
          <w:rFonts w:ascii="宋体" w:hAnsi="宋体"/>
          <w:color w:val="000000"/>
        </w:rPr>
        <w:t>，部分序列信息及可选用的酶切位点如图乙所示，</w:t>
      </w:r>
      <w:r>
        <w:rPr>
          <w:rFonts w:eastAsia="Times New Roman" w:cs="Times New Roman"/>
          <w:color w:val="000000"/>
        </w:rPr>
        <w:t>PCR</w:t>
      </w:r>
      <w:r>
        <w:rPr>
          <w:rFonts w:ascii="宋体" w:hAnsi="宋体"/>
          <w:color w:val="000000"/>
        </w:rPr>
        <w:t>产物完全酶切后的电泳结果如</w:t>
      </w:r>
      <w:r>
        <w:rPr>
          <w:rFonts w:ascii="宋体" w:hAnsi="宋体"/>
          <w:color w:val="000000"/>
        </w:rPr>
        <w:lastRenderedPageBreak/>
        <w:t>图丙所示。据图可判断选用的限制酶是</w:t>
      </w:r>
      <w:r>
        <w:rPr>
          <w:color w:val="000000"/>
        </w:rPr>
        <w:t>______</w:t>
      </w:r>
      <w:r>
        <w:rPr>
          <w:rFonts w:ascii="宋体" w:hAnsi="宋体"/>
          <w:color w:val="000000"/>
        </w:rPr>
        <w:t>，其中纯合的突变植株是</w:t>
      </w:r>
      <w:r>
        <w:rPr>
          <w:color w:val="000000"/>
        </w:rPr>
        <w:t>______</w:t>
      </w:r>
      <w:r>
        <w:rPr>
          <w:rFonts w:ascii="宋体" w:hAnsi="宋体"/>
          <w:color w:val="000000"/>
        </w:rPr>
        <w:t>（填序号）。</w:t>
      </w:r>
    </w:p>
    <w:p w14:paraId="25290668" w14:textId="77777777" w:rsidR="006A50FF" w:rsidRDefault="00000000">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实验中获得</w:t>
      </w:r>
      <w:r>
        <w:rPr>
          <w:rFonts w:eastAsia="Times New Roman" w:cs="Times New Roman"/>
          <w:color w:val="000000"/>
        </w:rPr>
        <w:t>1</w:t>
      </w:r>
      <w:r>
        <w:rPr>
          <w:rFonts w:ascii="宋体" w:hAnsi="宋体"/>
          <w:color w:val="000000"/>
        </w:rPr>
        <w:t>株基因</w:t>
      </w:r>
      <w:r>
        <w:rPr>
          <w:rFonts w:eastAsia="Times New Roman" w:cs="Times New Roman"/>
          <w:color w:val="000000"/>
        </w:rPr>
        <w:t>L</w:t>
      </w:r>
      <w:r>
        <w:rPr>
          <w:rFonts w:ascii="宋体" w:hAnsi="宋体"/>
          <w:color w:val="000000"/>
        </w:rPr>
        <w:t>成功突变的纯合植株，该植株具有抗生素抗性，检测发现其体细胞中只有</w:t>
      </w:r>
      <w:r>
        <w:rPr>
          <w:rFonts w:eastAsia="Times New Roman" w:cs="Times New Roman"/>
          <w:color w:val="000000"/>
        </w:rPr>
        <w:t>1</w:t>
      </w:r>
      <w:r>
        <w:rPr>
          <w:rFonts w:ascii="宋体" w:hAnsi="宋体"/>
          <w:color w:val="000000"/>
        </w:rPr>
        <w:t>条染色体有</w:t>
      </w:r>
      <w:r>
        <w:rPr>
          <w:rFonts w:eastAsia="Times New Roman" w:cs="Times New Roman"/>
          <w:color w:val="000000"/>
        </w:rPr>
        <w:t>T-DNA</w:t>
      </w:r>
      <w:r>
        <w:rPr>
          <w:rFonts w:ascii="宋体" w:hAnsi="宋体"/>
          <w:color w:val="000000"/>
        </w:rPr>
        <w:t>插入。用抗生素筛选这个植株的自交子代，其中突变位点纯合且对抗生素敏感的植株所占比例为</w:t>
      </w:r>
      <w:r>
        <w:rPr>
          <w:color w:val="000000"/>
        </w:rPr>
        <w:t>______</w:t>
      </w:r>
      <w:r>
        <w:rPr>
          <w:rFonts w:ascii="宋体" w:hAnsi="宋体"/>
          <w:color w:val="000000"/>
        </w:rPr>
        <w:t>，筛选出的敏感植株可用于后续的品种选育。</w:t>
      </w:r>
    </w:p>
    <w:sectPr w:rsidR="006A50FF">
      <w:pgSz w:w="11906" w:h="16838"/>
      <w:pgMar w:top="910" w:right="1080" w:bottom="1440" w:left="1080"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FE36CB0" w14:textId="77777777" w:rsidR="006F33EB" w:rsidRDefault="006F33EB"/>
  </w:endnote>
  <w:endnote w:type="continuationSeparator" w:id="0">
    <w:p w14:paraId="5AE4F63D" w14:textId="77777777" w:rsidR="006F33EB" w:rsidRDefault="006F33E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7758559" w14:textId="77777777" w:rsidR="006F33EB" w:rsidRDefault="006F33EB"/>
  </w:footnote>
  <w:footnote w:type="continuationSeparator" w:id="0">
    <w:p w14:paraId="2A98A6EF" w14:textId="77777777" w:rsidR="006F33EB" w:rsidRDefault="006F33EB"/>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zoom w:percent="100"/>
  <w:removePersonalInformation/>
  <w:removeDateAndTime/>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7DF2"/>
    <w:rsid w:val="00005EBC"/>
    <w:rsid w:val="00016BFA"/>
    <w:rsid w:val="000460FF"/>
    <w:rsid w:val="00054E7B"/>
    <w:rsid w:val="000D73DD"/>
    <w:rsid w:val="000E4D02"/>
    <w:rsid w:val="00171458"/>
    <w:rsid w:val="00173C1D"/>
    <w:rsid w:val="001764C3"/>
    <w:rsid w:val="0018010E"/>
    <w:rsid w:val="00191C29"/>
    <w:rsid w:val="001C63DA"/>
    <w:rsid w:val="001D4563"/>
    <w:rsid w:val="001F6168"/>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A50FF"/>
    <w:rsid w:val="006D5DE9"/>
    <w:rsid w:val="006F33EB"/>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0DC509D4"/>
    <w:rsid w:val="3827456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ED6F7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宋体" w:hAnsi="Times New Roman" w:cs="宋体"/>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qFormat="1"/>
    <w:lsdException w:name="caption" w:semiHidden="1" w:unhideWhenUsed="1" w:qFormat="1"/>
    <w:lsdException w:name="Title" w:qFormat="1"/>
    <w:lsdException w:name="Default Paragraph Font" w:semiHidden="1" w:uiPriority="1" w:unhideWhenUsed="1"/>
    <w:lsdException w:name="Subtitle" w:qFormat="1"/>
    <w:lsdException w:name="Hyperlink" w:uiPriority="99" w:unhideWhenUsed="1" w:qFormat="1"/>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qFormat/>
    <w:pPr>
      <w:tabs>
        <w:tab w:val="center" w:pos="4153"/>
        <w:tab w:val="right" w:pos="8306"/>
      </w:tabs>
      <w:snapToGrid w:val="0"/>
      <w:jc w:val="left"/>
    </w:pPr>
    <w:rPr>
      <w:sz w:val="18"/>
    </w:rPr>
  </w:style>
  <w:style w:type="paragraph" w:styleId="a4">
    <w:name w:val="header"/>
    <w:basedOn w:val="a"/>
    <w:link w:val="a5"/>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character" w:styleId="a6">
    <w:name w:val="Hyperlink"/>
    <w:basedOn w:val="a0"/>
    <w:uiPriority w:val="99"/>
    <w:unhideWhenUsed/>
    <w:qFormat/>
    <w:rPr>
      <w:color w:val="0000FF"/>
      <w:u w:val="single"/>
    </w:rPr>
  </w:style>
  <w:style w:type="character" w:customStyle="1" w:styleId="a5">
    <w:name w:val="页眉 字符"/>
    <w:basedOn w:val="a0"/>
    <w:link w:val="a4"/>
    <w:uiPriority w:val="99"/>
    <w:qFormat/>
    <w:rPr>
      <w:kern w:val="2"/>
      <w:sz w:val="18"/>
      <w:szCs w:val="24"/>
    </w:rPr>
  </w:style>
  <w:style w:type="paragraph" w:styleId="a7">
    <w:name w:val="No Spacing"/>
    <w:uiPriority w:val="1"/>
    <w:qFormat/>
    <w:rPr>
      <w:rFonts w:asciiTheme="minorHAnsi" w:eastAsia="Microsoft YaHei UI" w:hAnsiTheme="minorHAnsi" w:cstheme="minorBidi"/>
      <w:sz w:val="22"/>
      <w:szCs w:val="22"/>
    </w:rPr>
  </w:style>
  <w:style w:type="paragraph" w:styleId="a8">
    <w:name w:val="List Paragraph"/>
    <w:basedOn w:val="a"/>
    <w:uiPriority w:val="99"/>
    <w:qFormat/>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wmf"/><Relationship Id="rId18" Type="http://schemas.openxmlformats.org/officeDocument/2006/relationships/image" Target="media/image13.png"/><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wmf"/><Relationship Id="rId17" Type="http://schemas.openxmlformats.org/officeDocument/2006/relationships/image" Target="media/image12.png"/><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wm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14</Pages>
  <Words>1166</Words>
  <Characters>6651</Characters>
  <Application>Microsoft Office Word</Application>
  <DocSecurity>0</DocSecurity>
  <Lines>55</Lines>
  <Paragraphs>15</Paragraphs>
  <ScaleCrop>false</ScaleCrop>
  <Company/>
  <LinksUpToDate>false</LinksUpToDate>
  <CharactersWithSpaces>7802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2025-03-04T05:13:00Z</dcterms:created>
  <dcterms:modified xsi:type="dcterms:W3CDTF">2025-03-04T05:13:00Z</dcterms:modified>
</cp:coreProperties>
</file>