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776B8E" w14:textId="77777777" w:rsidR="000B4A9E" w:rsidRDefault="00000000">
      <w:pPr>
        <w:spacing w:line="360" w:lineRule="auto"/>
        <w:jc w:val="center"/>
      </w:pPr>
      <w:r>
        <w:rPr>
          <w:rFonts w:eastAsia="Times New Roman" w:cs="Times New Roman"/>
          <w:b/>
          <w:sz w:val="32"/>
        </w:rPr>
        <w:t>2024</w:t>
      </w:r>
      <w:r>
        <w:rPr>
          <w:rFonts w:ascii="宋体" w:hAnsi="宋体"/>
          <w:b/>
          <w:sz w:val="32"/>
        </w:rPr>
        <w:t>年广西普通高中学业水平选择性考试（生物学科）</w:t>
      </w:r>
    </w:p>
    <w:p w14:paraId="1B661735" w14:textId="77777777" w:rsidR="000B4A9E" w:rsidRDefault="00000000"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唐诗</w:t>
      </w:r>
      <w:r>
        <w:rPr>
          <w:rFonts w:eastAsia="Times New Roman" w:cs="Times New Roman"/>
        </w:rPr>
        <w:t>“</w:t>
      </w:r>
      <w:r>
        <w:rPr>
          <w:rFonts w:ascii="宋体" w:hAnsi="宋体"/>
        </w:rPr>
        <w:t>翠羽春禽满树喧</w:t>
      </w:r>
      <w:r>
        <w:rPr>
          <w:rFonts w:eastAsia="Times New Roman" w:cs="Times New Roman"/>
        </w:rPr>
        <w:t>”</w:t>
      </w:r>
      <w:r>
        <w:rPr>
          <w:rFonts w:ascii="宋体" w:hAnsi="宋体"/>
        </w:rPr>
        <w:t>描绘了满树鸟儿欢快鸣叫的画面，其中</w:t>
      </w:r>
      <w:r>
        <w:rPr>
          <w:rFonts w:eastAsia="Times New Roman" w:cs="Times New Roman"/>
        </w:rPr>
        <w:t>“</w:t>
      </w:r>
      <w:r>
        <w:rPr>
          <w:rFonts w:ascii="宋体" w:hAnsi="宋体"/>
        </w:rPr>
        <w:t>翠羽</w:t>
      </w:r>
      <w:r>
        <w:rPr>
          <w:rFonts w:eastAsia="Times New Roman" w:cs="Times New Roman"/>
        </w:rPr>
        <w:t>”</w:t>
      </w:r>
      <w:r>
        <w:rPr>
          <w:rFonts w:ascii="宋体" w:hAnsi="宋体"/>
        </w:rPr>
        <w:t>指青翠的羽毛，</w:t>
      </w:r>
      <w:r>
        <w:rPr>
          <w:rFonts w:eastAsia="Times New Roman" w:cs="Times New Roman"/>
        </w:rPr>
        <w:t>“</w:t>
      </w:r>
      <w:r>
        <w:rPr>
          <w:rFonts w:ascii="宋体" w:hAnsi="宋体"/>
        </w:rPr>
        <w:t>喧</w:t>
      </w:r>
      <w:r>
        <w:rPr>
          <w:rFonts w:eastAsia="Times New Roman" w:cs="Times New Roman"/>
        </w:rPr>
        <w:t>”</w:t>
      </w:r>
      <w:r>
        <w:rPr>
          <w:rFonts w:ascii="宋体" w:hAnsi="宋体"/>
        </w:rPr>
        <w:t>指鸣叫。关于</w:t>
      </w:r>
      <w:r>
        <w:rPr>
          <w:rFonts w:eastAsia="Times New Roman" w:cs="Times New Roman"/>
        </w:rPr>
        <w:t>“</w:t>
      </w:r>
      <w:r>
        <w:rPr>
          <w:rFonts w:ascii="宋体" w:hAnsi="宋体"/>
        </w:rPr>
        <w:t>翠羽</w:t>
      </w:r>
      <w:r>
        <w:rPr>
          <w:rFonts w:eastAsia="Times New Roman" w:cs="Times New Roman"/>
        </w:rPr>
        <w:t>”</w:t>
      </w:r>
      <w:r>
        <w:rPr>
          <w:rFonts w:ascii="宋体" w:hAnsi="宋体"/>
        </w:rPr>
        <w:t>和</w:t>
      </w:r>
      <w:r>
        <w:rPr>
          <w:rFonts w:eastAsia="Times New Roman" w:cs="Times New Roman"/>
        </w:rPr>
        <w:t>“</w:t>
      </w:r>
      <w:r>
        <w:rPr>
          <w:rFonts w:ascii="宋体" w:hAnsi="宋体"/>
        </w:rPr>
        <w:t>喧</w:t>
      </w:r>
      <w:r>
        <w:rPr>
          <w:rFonts w:eastAsia="Times New Roman" w:cs="Times New Roman"/>
        </w:rPr>
        <w:t>”</w:t>
      </w:r>
      <w:r>
        <w:rPr>
          <w:rFonts w:ascii="宋体" w:hAnsi="宋体"/>
        </w:rPr>
        <w:t>在生态系统中的作用，说法错误的是（　　）</w:t>
      </w:r>
    </w:p>
    <w:p w14:paraId="3694FFF5" w14:textId="77777777" w:rsidR="000B4A9E" w:rsidRDefault="00000000">
      <w:pPr>
        <w:tabs>
          <w:tab w:val="left" w:pos="4873"/>
        </w:tabs>
        <w:spacing w:line="360" w:lineRule="auto"/>
        <w:jc w:val="left"/>
        <w:textAlignment w:val="center"/>
      </w:pPr>
      <w:r>
        <w:t xml:space="preserve">A. </w:t>
      </w:r>
      <w:r>
        <w:rPr>
          <w:rFonts w:eastAsia="Times New Roman" w:cs="Times New Roman"/>
        </w:rPr>
        <w:t>“</w:t>
      </w:r>
      <w:r>
        <w:rPr>
          <w:rFonts w:ascii="宋体" w:hAnsi="宋体"/>
        </w:rPr>
        <w:t>翠羽</w:t>
      </w:r>
      <w:r>
        <w:rPr>
          <w:rFonts w:eastAsia="Times New Roman" w:cs="Times New Roman"/>
        </w:rPr>
        <w:t>”</w:t>
      </w:r>
      <w:r>
        <w:rPr>
          <w:rFonts w:ascii="宋体" w:hAnsi="宋体"/>
        </w:rPr>
        <w:t>有利于种群繁衍</w:t>
      </w:r>
      <w:r>
        <w:tab/>
        <w:t xml:space="preserve">B. </w:t>
      </w:r>
      <w:r>
        <w:rPr>
          <w:rFonts w:ascii="宋体" w:hAnsi="宋体"/>
        </w:rPr>
        <w:t>两者皆可调节种间关系</w:t>
      </w:r>
    </w:p>
    <w:p w14:paraId="0D2C1A39" w14:textId="77777777" w:rsidR="000B4A9E" w:rsidRDefault="00000000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eastAsia="Times New Roman" w:cs="Times New Roman"/>
        </w:rPr>
        <w:t>“</w:t>
      </w:r>
      <w:r>
        <w:rPr>
          <w:rFonts w:ascii="宋体" w:hAnsi="宋体"/>
        </w:rPr>
        <w:t>喧</w:t>
      </w:r>
      <w:r>
        <w:rPr>
          <w:rFonts w:eastAsia="Times New Roman" w:cs="Times New Roman"/>
        </w:rPr>
        <w:t>”</w:t>
      </w:r>
      <w:r>
        <w:rPr>
          <w:rFonts w:ascii="宋体" w:hAnsi="宋体"/>
        </w:rPr>
        <w:t>可表示个体间联络</w:t>
      </w:r>
      <w:r>
        <w:tab/>
        <w:t xml:space="preserve">D. </w:t>
      </w:r>
      <w:r>
        <w:rPr>
          <w:rFonts w:ascii="宋体" w:hAnsi="宋体"/>
        </w:rPr>
        <w:t>两者皆属于化学信息</w:t>
      </w:r>
    </w:p>
    <w:p w14:paraId="6FF6A35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广西是我国甘蔗主产地。甘蔗一般采用无性繁殖，但会由于病毒积累而产下降，可通过植物组织培养获得脱毒苗的方法来解决。关于该方法，下列说法错误的是（　　）</w:t>
      </w:r>
    </w:p>
    <w:p w14:paraId="63E642DC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可选用甘蔗的茎尖为外植体</w:t>
      </w:r>
    </w:p>
    <w:p w14:paraId="139FD98D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选用的外植体需经高温灭菌处理</w:t>
      </w:r>
    </w:p>
    <w:p w14:paraId="7669B1B6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一般采用加入琼脂的固体培养基</w:t>
      </w:r>
    </w:p>
    <w:p w14:paraId="4FD39BDC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脱毒苗的形成包括再分化过程</w:t>
      </w:r>
    </w:p>
    <w:p w14:paraId="040F33CC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扬美豆豉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制作技艺属于广西非物质文化遗产，该技艺包括选豆、洗豆、煮豆、制曲、洗曲、调味和发酵等。下列说法错误的是（　　）</w:t>
      </w:r>
    </w:p>
    <w:p w14:paraId="5642C9A9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煮豆可使蛋白质适度变性，易于被微生物利用</w:t>
      </w:r>
    </w:p>
    <w:p w14:paraId="5B3F4D3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制曲目的是促使有益微生物生长繁殖，并分泌多种酶</w:t>
      </w:r>
    </w:p>
    <w:p w14:paraId="2681CAE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调味时加入食盐，主要目的是促进微生物的生长繁殖</w:t>
      </w:r>
    </w:p>
    <w:p w14:paraId="5C52329F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发酵过程中，微生物将原料转化为特定代谢产物，使豆豉风味独特</w:t>
      </w:r>
    </w:p>
    <w:p w14:paraId="586CDFC4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研究发现真核生物基因组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普遍存在</w:t>
      </w:r>
      <w:r>
        <w:rPr>
          <w:rFonts w:eastAsia="Times New Roman" w:cs="Times New Roman"/>
          <w:color w:val="000000"/>
        </w:rPr>
        <w:t>5-</w:t>
      </w:r>
      <w:r>
        <w:rPr>
          <w:rFonts w:ascii="宋体" w:hAnsi="宋体"/>
          <w:color w:val="000000"/>
        </w:rPr>
        <w:t>甲基胞嘧啶和</w:t>
      </w:r>
      <w:r>
        <w:rPr>
          <w:rFonts w:eastAsia="Times New Roman" w:cs="Times New Roman"/>
          <w:color w:val="000000"/>
        </w:rPr>
        <w:t>N</w:t>
      </w:r>
      <w:r>
        <w:rPr>
          <w:rFonts w:eastAsia="Times New Roman" w:cs="Times New Roman"/>
          <w:color w:val="000000"/>
          <w:vertAlign w:val="subscript"/>
        </w:rPr>
        <w:t>6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甲基腺嘌呤，分别被称为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noProof/>
          <w:color w:val="000000"/>
        </w:rPr>
        <w:drawing>
          <wp:inline distT="0" distB="0" distL="114300" distR="114300" wp14:anchorId="17628119" wp14:editId="38FF6D61">
            <wp:extent cx="133350" cy="177800"/>
            <wp:effectExtent l="0" t="0" r="0" b="13335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第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个碱基。关于这两个碱基的说法，正确的是（　　）</w:t>
      </w:r>
    </w:p>
    <w:p w14:paraId="63D1528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均含有</w:t>
      </w:r>
      <w:r>
        <w:rPr>
          <w:rFonts w:eastAsia="Times New Roman" w:cs="Times New Roman"/>
          <w:color w:val="000000"/>
        </w:rPr>
        <w:t>N</w:t>
      </w:r>
      <w:r>
        <w:rPr>
          <w:rFonts w:ascii="宋体" w:hAnsi="宋体"/>
          <w:color w:val="000000"/>
        </w:rPr>
        <w:t>元素</w:t>
      </w:r>
    </w:p>
    <w:p w14:paraId="70579CD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均含有脱氧核糖</w:t>
      </w:r>
    </w:p>
    <w:p w14:paraId="6C29E7B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都排列在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骨架的外侧</w:t>
      </w:r>
    </w:p>
    <w:p w14:paraId="1EAAFCB9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都不参与碱基互补配对</w:t>
      </w:r>
    </w:p>
    <w:p w14:paraId="20AE035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我国科研工作者利用病毒衣亮蛋白</w:t>
      </w:r>
      <w:r>
        <w:rPr>
          <w:rFonts w:eastAsia="Times New Roman" w:cs="Times New Roman"/>
          <w:color w:val="000000"/>
        </w:rPr>
        <w:t>VP16</w:t>
      </w:r>
      <w:r>
        <w:rPr>
          <w:rFonts w:ascii="宋体" w:hAnsi="宋体"/>
          <w:color w:val="000000"/>
        </w:rPr>
        <w:t>作为纳米骨架，包裹大肠</w:t>
      </w:r>
      <w:r>
        <w:rPr>
          <w:rFonts w:ascii="宋体" w:hAnsi="宋体"/>
          <w:color w:val="000000"/>
        </w:rPr>
        <w:lastRenderedPageBreak/>
        <w:t>杆菌碱性磷酸酶，构建了高效、易调控的蛋白类纳米酶。关于该纳米酶的说法，错误的是（　　）</w:t>
      </w:r>
    </w:p>
    <w:p w14:paraId="4EC250E2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催化效率受</w:t>
      </w:r>
      <w:r>
        <w:rPr>
          <w:rFonts w:eastAsia="Times New Roman" w:cs="Times New Roman"/>
          <w:color w:val="000000"/>
        </w:rPr>
        <w:t>pH</w:t>
      </w:r>
      <w:r>
        <w:rPr>
          <w:rFonts w:ascii="宋体" w:hAnsi="宋体"/>
          <w:color w:val="000000"/>
        </w:rPr>
        <w:t>、温度影响</w:t>
      </w:r>
    </w:p>
    <w:p w14:paraId="0FA5BDC1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可在细胞内发挥作用</w:t>
      </w:r>
    </w:p>
    <w:p w14:paraId="646D4BCF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显著降低反应的活化能</w:t>
      </w:r>
    </w:p>
    <w:p w14:paraId="500234F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可催化肽键的断裂</w:t>
      </w:r>
    </w:p>
    <w:p w14:paraId="7FB6CFB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百香果具有较高的经济价值，在广西多地种植，赋能乡村振兴。为探究百香果健壮枝条生根的最适</w:t>
      </w:r>
      <w:r>
        <w:rPr>
          <w:rFonts w:eastAsia="Times New Roman" w:cs="Times New Roman"/>
          <w:color w:val="000000"/>
        </w:rPr>
        <w:t>2,4-D</w:t>
      </w:r>
      <w:r>
        <w:rPr>
          <w:rFonts w:ascii="宋体" w:hAnsi="宋体"/>
          <w:color w:val="000000"/>
        </w:rPr>
        <w:t>浓度，某兴趣小组提出实验方案，其中不合理的是（　　）</w:t>
      </w:r>
    </w:p>
    <w:p w14:paraId="234C174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设置清水组作为空白对照</w:t>
      </w:r>
    </w:p>
    <w:p w14:paraId="39257FEB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将</w:t>
      </w:r>
      <w:r>
        <w:rPr>
          <w:rFonts w:eastAsia="Times New Roman" w:cs="Times New Roman"/>
          <w:color w:val="000000"/>
        </w:rPr>
        <w:t>2,4-D</w:t>
      </w:r>
      <w:r>
        <w:rPr>
          <w:rFonts w:ascii="宋体" w:hAnsi="宋体"/>
          <w:color w:val="000000"/>
        </w:rPr>
        <w:t>浓度作为自变量</w:t>
      </w:r>
    </w:p>
    <w:p w14:paraId="6EA929A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将枝条生根</w:t>
      </w:r>
      <w:r>
        <w:rPr>
          <w:rFonts w:ascii="宋体" w:hAnsi="宋体"/>
          <w:noProof/>
          <w:color w:val="000000"/>
        </w:rPr>
        <w:drawing>
          <wp:inline distT="0" distB="0" distL="114300" distR="114300" wp14:anchorId="3A13FF26" wp14:editId="2C3037A3">
            <wp:extent cx="133350" cy="177800"/>
            <wp:effectExtent l="0" t="0" r="0" b="13335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数量及生根的长度作为因变量</w:t>
      </w:r>
    </w:p>
    <w:p w14:paraId="6AAF7F86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随机选择生长状况不同的枝条作为实验材料</w:t>
      </w:r>
    </w:p>
    <w:p w14:paraId="69BC16C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我国科研人员研发了一种长效胰岛素制剂。当血糖浓度升高时，该制剂能迅速释放胰岛素，使血糖恢复正常，之后缓慢持续释放微盟胰岛素，维持血糖稳定。关于该制剂的说法，错误的是（　　）</w:t>
      </w:r>
    </w:p>
    <w:p w14:paraId="6FC223EF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参与维持血糖浓度的动态平衡</w:t>
      </w:r>
    </w:p>
    <w:p w14:paraId="05E973A6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适宜采用注射方式给药</w:t>
      </w:r>
    </w:p>
    <w:p w14:paraId="6806697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释放胰岛素受神经系统直接调控</w:t>
      </w:r>
    </w:p>
    <w:p w14:paraId="5908E2FB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药效受机体内环境的影响</w:t>
      </w:r>
    </w:p>
    <w:p w14:paraId="44F88E7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屠呦呦等科学家发现青蒿素，为全球疟疾治疗做出突出贡献。随着时间推移。发现疟原虫对单方青蒿素出现了一定抗药性，为了解决该问题，我国科学家继续研发出高效的青蒿素联合疗法并广泛应用。下列说法错误的是（　　）</w:t>
      </w:r>
    </w:p>
    <w:p w14:paraId="0E7EA941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疟原虫出现抗药性，说明疟原虫种群在进化</w:t>
      </w:r>
    </w:p>
    <w:p w14:paraId="2C2FC84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受单方青蒿素刺激，疟原虫产生了抗药性变异</w:t>
      </w:r>
    </w:p>
    <w:p w14:paraId="402419D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若一直使用单方青蒿素，疟原虫种群抗药性基因频率会上升</w:t>
      </w:r>
    </w:p>
    <w:p w14:paraId="43FF840D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青蒿素联合疗法，可以有效地杀灭感染人体的抗药性疟原虫</w:t>
      </w:r>
    </w:p>
    <w:p w14:paraId="3C79BCB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在某稳定的鱼塘生态系统中，食物网如图所示，其中鲈鱼为主要经</w:t>
      </w:r>
      <w:r>
        <w:rPr>
          <w:rFonts w:ascii="宋体" w:hAnsi="宋体"/>
          <w:color w:val="000000"/>
        </w:rPr>
        <w:lastRenderedPageBreak/>
        <w:t>济鱼类。下列说法错误的是（　　）</w:t>
      </w:r>
    </w:p>
    <w:p w14:paraId="254A8C95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50D33218" wp14:editId="5135A04E">
            <wp:extent cx="2628900" cy="131445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FF58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该生态系统中，含有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条食物链</w:t>
      </w:r>
    </w:p>
    <w:p w14:paraId="717A8412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该生态系统中，太阳鱼只属于第三营养级</w:t>
      </w:r>
    </w:p>
    <w:p w14:paraId="04298C72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消除甲壳类会降低该生态系统的抵抗力稳定性</w:t>
      </w:r>
    </w:p>
    <w:p w14:paraId="48FDA61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消除捕食性双翅目幼虫，可以提高流入鲈鱼的能量</w:t>
      </w:r>
    </w:p>
    <w:p w14:paraId="45D98E6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白头叶猴为广西特有的濒危保护动物。为了调查其种群数量，可采用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粪便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分析法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，主要步骤有：采集白头叶猴粪便，分析其中白头叶猴的微卫塑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（能根据其差别来识别不同个体）等。关于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粪便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分析法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的叙述，错误的是（　　）</w:t>
      </w:r>
    </w:p>
    <w:p w14:paraId="4639F624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属于样方法，需随机划定样方采集粪便</w:t>
      </w:r>
    </w:p>
    <w:p w14:paraId="38A4974C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无需抓捕，避免对白头叶猴个体的伤害</w:t>
      </w:r>
    </w:p>
    <w:p w14:paraId="1D4D1EBF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调查得到的种群数量，常小于真实数量</w:t>
      </w:r>
    </w:p>
    <w:p w14:paraId="32A13A96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rFonts w:hint="eastAsia"/>
          <w:color w:val="000000"/>
        </w:rPr>
        <w:t>.</w:t>
      </w:r>
      <w:r>
        <w:rPr>
          <w:color w:val="000000"/>
        </w:rPr>
        <w:t xml:space="preserve"> </w:t>
      </w:r>
      <w:r>
        <w:rPr>
          <w:rFonts w:ascii="宋体" w:hAnsi="宋体"/>
          <w:color w:val="000000"/>
        </w:rPr>
        <w:t>宜采集新鲜粪便，以免其中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降解</w:t>
      </w:r>
    </w:p>
    <w:p w14:paraId="6E5164FB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水稻（</w:t>
      </w:r>
      <w:r>
        <w:rPr>
          <w:rFonts w:eastAsia="Times New Roman" w:cs="Times New Roman"/>
          <w:color w:val="000000"/>
        </w:rPr>
        <w:t>2N=24</w:t>
      </w:r>
      <w:r>
        <w:rPr>
          <w:rFonts w:ascii="宋体" w:hAnsi="宋体"/>
          <w:color w:val="000000"/>
        </w:rPr>
        <w:t>）是我国主要粮食作物之一，研究发现水稻</w:t>
      </w:r>
      <w:r>
        <w:rPr>
          <w:rFonts w:eastAsia="Times New Roman" w:cs="Times New Roman"/>
          <w:color w:val="000000"/>
        </w:rPr>
        <w:t>S</w:t>
      </w:r>
      <w:r>
        <w:rPr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基因与花粉正常发育相关。科研人员将野生型和双突变型（</w:t>
      </w:r>
      <w:r>
        <w:rPr>
          <w:rFonts w:eastAsia="Times New Roman" w:cs="Times New Roman"/>
          <w:color w:val="000000"/>
        </w:rPr>
        <w:t>S</w:t>
      </w:r>
      <w:r>
        <w:rPr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基因突变）的花粉母细胞进行染色，观察得到如图的减数分裂</w:t>
      </w: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过程。下列说法正确的是（　　）</w:t>
      </w:r>
    </w:p>
    <w:p w14:paraId="439BDEE1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1153A528" wp14:editId="50F3BAAF">
            <wp:extent cx="3028950" cy="1304925"/>
            <wp:effectExtent l="0" t="0" r="0" b="9525"/>
            <wp:docPr id="100005" name="图片 100005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23494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图（</w:t>
      </w:r>
      <w:r>
        <w:rPr>
          <w:rFonts w:eastAsia="Times New Roman" w:cs="Times New Roman"/>
          <w:color w:val="000000"/>
        </w:rPr>
        <w:t>e</w:t>
      </w:r>
      <w:r>
        <w:rPr>
          <w:rFonts w:ascii="宋体" w:hAnsi="宋体"/>
          <w:color w:val="000000"/>
        </w:rPr>
        <w:t>）中出现明显的染色体，可知该时期是减数分裂</w:t>
      </w: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后期</w:t>
      </w:r>
    </w:p>
    <w:p w14:paraId="2E67FF9D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水稻的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个花粉母细胞完成减数分裂，只产生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个子代细胞</w:t>
      </w:r>
    </w:p>
    <w:p w14:paraId="66C5E87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C. </w:t>
      </w:r>
      <w:r>
        <w:rPr>
          <w:rFonts w:ascii="宋体" w:hAnsi="宋体"/>
          <w:color w:val="000000"/>
        </w:rPr>
        <w:t>野生型水稻减数分裂</w:t>
      </w: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过程，产生的子代细胞含有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条染色体</w:t>
      </w:r>
    </w:p>
    <w:p w14:paraId="51736961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eastAsia="Times New Roman" w:cs="Times New Roman"/>
          <w:color w:val="000000"/>
        </w:rPr>
        <w:t>S</w:t>
      </w:r>
      <w:r>
        <w:rPr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S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基因可通过控制同源染色体的联会，进而影响花粉发育</w:t>
      </w:r>
    </w:p>
    <w:p w14:paraId="539E93C4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科学家通过小鼠低蛋白饮食与正常饮食的对比实验，发现亲代的低蛋白饮食可影响自身基因表达（其机理如图），且这种影响可遗传给子代。据图分析，下列说法正确的是（　　）</w:t>
      </w:r>
    </w:p>
    <w:p w14:paraId="0597A4C4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314DAC88" wp14:editId="0BE0B8E6">
            <wp:extent cx="5238750" cy="2102485"/>
            <wp:effectExtent l="0" t="0" r="0" b="12065"/>
            <wp:docPr id="100007" name="图片 100007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102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8AF86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自身基因表达和表型发生变化的现象，称为表观遗传</w:t>
      </w:r>
    </w:p>
    <w:p w14:paraId="6D92639F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组蛋白甲基化水平增加，将导致相关基因表达水平降低</w:t>
      </w:r>
    </w:p>
    <w:p w14:paraId="2404B09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ATF7</w:t>
      </w:r>
      <w:r>
        <w:rPr>
          <w:rFonts w:ascii="宋体" w:hAnsi="宋体"/>
          <w:color w:val="000000"/>
        </w:rPr>
        <w:t>的磷酸化，将导致组蛋白表观遗传修饰水平提高</w:t>
      </w:r>
    </w:p>
    <w:p w14:paraId="62F76500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亲代的低蛋白饮食，会改变子代小鼠的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碱基序列</w:t>
      </w:r>
    </w:p>
    <w:p w14:paraId="47EA8A2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科研工作者以烟草悬浮细胞为材料，研究不同质量浓度的聚乙二醇（</w:t>
      </w:r>
      <w:r>
        <w:rPr>
          <w:rFonts w:eastAsia="Times New Roman" w:cs="Times New Roman"/>
          <w:color w:val="000000"/>
        </w:rPr>
        <w:t>PEG</w:t>
      </w:r>
      <w:r>
        <w:rPr>
          <w:rFonts w:ascii="宋体" w:hAnsi="宋体"/>
          <w:color w:val="000000"/>
        </w:rPr>
        <w:t>）对细胞膜通透性的影响，结果如图所示。下列说法错误的是（　　）</w:t>
      </w:r>
    </w:p>
    <w:p w14:paraId="0BC34CF2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4721FAB7" wp14:editId="7D9C09EE">
            <wp:extent cx="5238750" cy="2364740"/>
            <wp:effectExtent l="0" t="0" r="0" b="16510"/>
            <wp:docPr id="100009" name="图片 100009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364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B91A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高浓度</w:t>
      </w:r>
      <w:r>
        <w:rPr>
          <w:rFonts w:eastAsia="Times New Roman" w:cs="Times New Roman"/>
          <w:color w:val="000000"/>
        </w:rPr>
        <w:t>PEG</w:t>
      </w:r>
      <w:r>
        <w:rPr>
          <w:rFonts w:ascii="宋体" w:hAnsi="宋体"/>
          <w:color w:val="000000"/>
        </w:rPr>
        <w:t>使细胞活力显著下降</w:t>
      </w:r>
    </w:p>
    <w:p w14:paraId="5FC017F9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随着</w:t>
      </w:r>
      <w:r>
        <w:rPr>
          <w:rFonts w:eastAsia="Times New Roman" w:cs="Times New Roman"/>
          <w:color w:val="000000"/>
        </w:rPr>
        <w:t>PEG</w:t>
      </w:r>
      <w:r>
        <w:rPr>
          <w:rFonts w:ascii="宋体" w:hAnsi="宋体"/>
          <w:color w:val="000000"/>
        </w:rPr>
        <w:t>浓度增加，</w:t>
      </w:r>
      <w:r>
        <w:rPr>
          <w:rFonts w:eastAsia="Times New Roman" w:cs="Times New Roman"/>
          <w:color w:val="000000"/>
        </w:rPr>
        <w:t>eATP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iATP</w:t>
      </w:r>
      <w:r>
        <w:rPr>
          <w:rFonts w:ascii="宋体" w:hAnsi="宋体"/>
          <w:color w:val="000000"/>
        </w:rPr>
        <w:t>总量持续增加</w:t>
      </w:r>
    </w:p>
    <w:p w14:paraId="676496E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iATP</w:t>
      </w:r>
      <w:r>
        <w:rPr>
          <w:rFonts w:ascii="宋体" w:hAnsi="宋体"/>
          <w:color w:val="000000"/>
        </w:rPr>
        <w:t>相对水平越高，说明细胞膜的通透性越小</w:t>
      </w:r>
    </w:p>
    <w:p w14:paraId="18FE07E4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在</w:t>
      </w:r>
      <w:r>
        <w:rPr>
          <w:rFonts w:eastAsia="Times New Roman" w:cs="Times New Roman"/>
          <w:color w:val="000000"/>
        </w:rPr>
        <w:t>PEG</w:t>
      </w:r>
      <w:r>
        <w:rPr>
          <w:rFonts w:ascii="宋体" w:hAnsi="宋体"/>
          <w:color w:val="000000"/>
        </w:rPr>
        <w:t>胁迫下，</w:t>
      </w:r>
      <w:r>
        <w:rPr>
          <w:rFonts w:eastAsia="Times New Roman" w:cs="Times New Roman"/>
          <w:color w:val="000000"/>
        </w:rPr>
        <w:t>cATP</w:t>
      </w:r>
      <w:r>
        <w:rPr>
          <w:rFonts w:ascii="宋体" w:hAnsi="宋体"/>
          <w:color w:val="000000"/>
        </w:rPr>
        <w:t>相对水平与</w:t>
      </w:r>
      <w:r>
        <w:rPr>
          <w:rFonts w:eastAsia="Times New Roman" w:cs="Times New Roman"/>
          <w:color w:val="000000"/>
        </w:rPr>
        <w:t>iATP</w:t>
      </w:r>
      <w:r>
        <w:rPr>
          <w:rFonts w:ascii="宋体" w:hAnsi="宋体"/>
          <w:color w:val="000000"/>
        </w:rPr>
        <w:t>相对水平呈负相关</w:t>
      </w:r>
    </w:p>
    <w:p w14:paraId="648185D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14. </w:t>
      </w:r>
      <w:r>
        <w:rPr>
          <w:rFonts w:ascii="宋体" w:hAnsi="宋体"/>
          <w:color w:val="000000"/>
        </w:rPr>
        <w:t>为了研究游客投喂对某森林公园内野生猕猴种群数量的影响，研究人员进行了跟踪调查，结果见图。下列关于游客投喂对猴群的影响，叙述错误的是（　　）</w:t>
      </w:r>
    </w:p>
    <w:p w14:paraId="57F8D5BC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6635EC4A" wp14:editId="3DB6C466">
            <wp:extent cx="3438525" cy="2352675"/>
            <wp:effectExtent l="0" t="0" r="9525" b="9525"/>
            <wp:docPr id="100011" name="图片 100011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C697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使猴群的种群增长率一直增加</w:t>
      </w:r>
    </w:p>
    <w:p w14:paraId="42D69761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降低了园区内猴群的环境阻力</w:t>
      </w:r>
    </w:p>
    <w:p w14:paraId="3D7A30F8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使猴群数量增加，可能导致外溢</w:t>
      </w:r>
    </w:p>
    <w:p w14:paraId="13B55BF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降低种群密度对猴群数量的制约作用</w:t>
      </w:r>
    </w:p>
    <w:p w14:paraId="2F9592E2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人体心室肌细胞内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浓度高于胞外，</w:t>
      </w:r>
      <w:r>
        <w:rPr>
          <w:rFonts w:eastAsia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浓度低于胞外。心室肌细胞静息电位和动作电位的产生（如图），主要与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的流动有关。图中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期为去极化：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期</w:t>
      </w:r>
      <w:r>
        <w:rPr>
          <w:rFonts w:eastAsia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通道关闭，同时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外流；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期出现主要依赖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Ca</w:t>
      </w:r>
      <w:r>
        <w:rPr>
          <w:color w:val="000000"/>
          <w:vertAlign w:val="superscript"/>
        </w:rPr>
        <w:t>2+</w:t>
      </w:r>
      <w:r>
        <w:rPr>
          <w:rFonts w:ascii="宋体" w:hAnsi="宋体"/>
          <w:color w:val="000000"/>
        </w:rPr>
        <w:t>的流动。下列说法错误的是（　　）</w:t>
      </w:r>
    </w:p>
    <w:p w14:paraId="1830A984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27995E04" wp14:editId="41B87494">
            <wp:extent cx="3838575" cy="149542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3F66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静息电位主要由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外流追成</w:t>
      </w:r>
    </w:p>
    <w:p w14:paraId="4D6FE7BD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期的产生依赖于</w:t>
      </w:r>
      <w:r>
        <w:rPr>
          <w:rFonts w:eastAsia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快速内流</w:t>
      </w:r>
    </w:p>
    <w:p w14:paraId="591A2B34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期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外流是通过主动运输进行</w:t>
      </w:r>
    </w:p>
    <w:p w14:paraId="5BF85928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期的形成是</w:t>
      </w:r>
      <w:r>
        <w:rPr>
          <w:rFonts w:eastAsia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hAnsi="宋体"/>
          <w:color w:val="000000"/>
        </w:rPr>
        <w:t>外流和</w:t>
      </w:r>
      <w:r>
        <w:rPr>
          <w:rFonts w:eastAsia="Times New Roman" w:cs="Times New Roman"/>
          <w:color w:val="000000"/>
        </w:rPr>
        <w:t>Ca</w:t>
      </w:r>
      <w:r>
        <w:rPr>
          <w:color w:val="000000"/>
          <w:vertAlign w:val="superscript"/>
        </w:rPr>
        <w:t>2+</w:t>
      </w:r>
      <w:r>
        <w:rPr>
          <w:rFonts w:ascii="宋体" w:hAnsi="宋体"/>
          <w:color w:val="000000"/>
        </w:rPr>
        <w:t>内流导致</w:t>
      </w:r>
    </w:p>
    <w:p w14:paraId="6181499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16. </w:t>
      </w:r>
      <w:r>
        <w:rPr>
          <w:rFonts w:ascii="宋体" w:hAnsi="宋体"/>
          <w:color w:val="000000"/>
        </w:rPr>
        <w:t>某种观赏花卉（两性花）有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种表型：紫色、大红色、浅红色和白色，由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对等位基因（</w:t>
      </w:r>
      <w:r>
        <w:rPr>
          <w:rFonts w:eastAsia="Times New Roman" w:cs="Times New Roman"/>
          <w:color w:val="000000"/>
        </w:rPr>
        <w:t>A/a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B/b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D/d</w:t>
      </w:r>
      <w:r>
        <w:rPr>
          <w:rFonts w:ascii="宋体" w:hAnsi="宋体"/>
          <w:color w:val="000000"/>
        </w:rPr>
        <w:t>）共同决定，其中只要含有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就表现白色，且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与另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对等位基因不在同一对同源染色体上。现有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个不同纯合品系甲、乙、丙和丁，它们之间的杂交情况（无突变、致死和染色体互换）见表。下列分析正确的是（　　）</w:t>
      </w:r>
    </w:p>
    <w:tbl>
      <w:tblPr>
        <w:tblW w:w="76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1147"/>
        <w:gridCol w:w="2430"/>
        <w:gridCol w:w="949"/>
        <w:gridCol w:w="3165"/>
      </w:tblGrid>
      <w:tr w:rsidR="000B4A9E" w14:paraId="136F41AF" w14:textId="77777777">
        <w:trPr>
          <w:trHeight w:val="315"/>
          <w:jc w:val="center"/>
        </w:trPr>
        <w:tc>
          <w:tcPr>
            <w:tcW w:w="1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7F2166E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组别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D53403E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杂交组合</w:t>
            </w:r>
          </w:p>
        </w:tc>
        <w:tc>
          <w:tcPr>
            <w:tcW w:w="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5DD472E6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F</w:t>
            </w:r>
            <w:r>
              <w:rPr>
                <w:rFonts w:eastAsia="Times New Roman" w:cs="Times New Roman"/>
                <w:color w:val="000000"/>
                <w:vertAlign w:val="subscript"/>
              </w:rPr>
              <w:t>1</w:t>
            </w:r>
          </w:p>
        </w:tc>
        <w:tc>
          <w:tcPr>
            <w:tcW w:w="3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A48BC5E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F</w:t>
            </w:r>
            <w:r>
              <w:rPr>
                <w:rFonts w:eastAsia="Times New Roman" w:cs="Times New Roman"/>
                <w:color w:val="000000"/>
                <w:vertAlign w:val="subscript"/>
              </w:rPr>
              <w:t>1</w:t>
            </w:r>
            <w:r>
              <w:rPr>
                <w:rFonts w:ascii="宋体" w:hAnsi="宋体"/>
                <w:color w:val="000000"/>
              </w:rPr>
              <w:t>自交，得到</w:t>
            </w:r>
            <w:r>
              <w:rPr>
                <w:rFonts w:eastAsia="Times New Roman" w:cs="Times New Roman"/>
                <w:color w:val="000000"/>
              </w:rPr>
              <w:t>F</w:t>
            </w:r>
            <w:r>
              <w:rPr>
                <w:rFonts w:eastAsia="Times New Roman" w:cs="Times New Roman"/>
                <w:color w:val="000000"/>
                <w:vertAlign w:val="subscript"/>
              </w:rPr>
              <w:t>2</w:t>
            </w:r>
          </w:p>
        </w:tc>
      </w:tr>
      <w:tr w:rsidR="000B4A9E" w14:paraId="0CB6271F" w14:textId="77777777">
        <w:trPr>
          <w:trHeight w:val="315"/>
          <w:jc w:val="center"/>
        </w:trPr>
        <w:tc>
          <w:tcPr>
            <w:tcW w:w="1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E37A0C1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Ⅰ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71EDF36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甲（紫色）</w:t>
            </w:r>
            <w:r>
              <w:rPr>
                <w:rFonts w:eastAsia="Times New Roman" w:cs="Times New Roman"/>
                <w:color w:val="000000"/>
              </w:rPr>
              <w:t>×</w:t>
            </w:r>
            <w:r>
              <w:rPr>
                <w:rFonts w:ascii="宋体" w:hAnsi="宋体"/>
                <w:color w:val="000000"/>
              </w:rPr>
              <w:t>乙（白色）</w:t>
            </w:r>
          </w:p>
        </w:tc>
        <w:tc>
          <w:tcPr>
            <w:tcW w:w="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665DEF3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紫色</w:t>
            </w:r>
          </w:p>
        </w:tc>
        <w:tc>
          <w:tcPr>
            <w:tcW w:w="3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D27034A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紫色</w:t>
            </w:r>
            <w:r>
              <w:rPr>
                <w:rFonts w:eastAsia="Times New Roman" w:cs="Times New Roman"/>
                <w:color w:val="000000"/>
              </w:rPr>
              <w:t>:</w:t>
            </w:r>
            <w:r>
              <w:rPr>
                <w:rFonts w:ascii="宋体" w:hAnsi="宋体"/>
                <w:color w:val="000000"/>
              </w:rPr>
              <w:t>浅红色</w:t>
            </w:r>
            <w:r>
              <w:rPr>
                <w:rFonts w:eastAsia="Times New Roman" w:cs="Times New Roman"/>
                <w:color w:val="000000"/>
              </w:rPr>
              <w:t>:</w:t>
            </w:r>
            <w:r>
              <w:rPr>
                <w:rFonts w:ascii="宋体" w:hAnsi="宋体"/>
                <w:color w:val="000000"/>
              </w:rPr>
              <w:t>白色</w:t>
            </w:r>
            <w:r>
              <w:rPr>
                <w:rFonts w:eastAsia="Times New Roman" w:cs="Times New Roman"/>
                <w:color w:val="000000"/>
              </w:rPr>
              <w:t>≈9:3:4</w:t>
            </w:r>
          </w:p>
        </w:tc>
      </w:tr>
      <w:tr w:rsidR="000B4A9E" w14:paraId="14EC27D0" w14:textId="77777777">
        <w:trPr>
          <w:trHeight w:val="315"/>
          <w:jc w:val="center"/>
        </w:trPr>
        <w:tc>
          <w:tcPr>
            <w:tcW w:w="1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3077FD7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Ⅱ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1C0420F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丙（紫色）</w:t>
            </w:r>
            <w:r>
              <w:rPr>
                <w:rFonts w:eastAsia="Times New Roman" w:cs="Times New Roman"/>
                <w:color w:val="000000"/>
              </w:rPr>
              <w:t>×</w:t>
            </w:r>
            <w:r>
              <w:rPr>
                <w:rFonts w:ascii="宋体" w:hAnsi="宋体"/>
                <w:color w:val="000000"/>
              </w:rPr>
              <w:t>丁（白色）</w:t>
            </w:r>
          </w:p>
        </w:tc>
        <w:tc>
          <w:tcPr>
            <w:tcW w:w="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7B302F5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紫色</w:t>
            </w:r>
          </w:p>
        </w:tc>
        <w:tc>
          <w:tcPr>
            <w:tcW w:w="3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9852BBF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紫色</w:t>
            </w:r>
            <w:r>
              <w:rPr>
                <w:rFonts w:eastAsia="Times New Roman" w:cs="Times New Roman"/>
                <w:color w:val="000000"/>
              </w:rPr>
              <w:t>:</w:t>
            </w:r>
            <w:r>
              <w:rPr>
                <w:rFonts w:ascii="宋体" w:hAnsi="宋体"/>
                <w:color w:val="000000"/>
              </w:rPr>
              <w:t>大红色</w:t>
            </w:r>
            <w:r>
              <w:rPr>
                <w:rFonts w:eastAsia="Times New Roman" w:cs="Times New Roman"/>
                <w:color w:val="000000"/>
              </w:rPr>
              <w:t>:</w:t>
            </w:r>
            <w:r>
              <w:rPr>
                <w:rFonts w:ascii="宋体" w:hAnsi="宋体"/>
                <w:color w:val="000000"/>
              </w:rPr>
              <w:t>白色</w:t>
            </w:r>
            <w:r>
              <w:rPr>
                <w:rFonts w:eastAsia="Times New Roman" w:cs="Times New Roman"/>
                <w:color w:val="000000"/>
              </w:rPr>
              <w:t>≈6:6:4</w:t>
            </w:r>
          </w:p>
        </w:tc>
      </w:tr>
    </w:tbl>
    <w:p w14:paraId="42C01FD8" w14:textId="77777777" w:rsidR="000B4A9E" w:rsidRDefault="000B4A9E">
      <w:pPr>
        <w:spacing w:line="360" w:lineRule="auto"/>
        <w:jc w:val="left"/>
        <w:textAlignment w:val="center"/>
        <w:rPr>
          <w:color w:val="000000"/>
        </w:rPr>
      </w:pPr>
    </w:p>
    <w:p w14:paraId="5F926DAB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B/b</w:t>
      </w:r>
      <w:r>
        <w:rPr>
          <w:rFonts w:ascii="宋体" w:hAnsi="宋体"/>
          <w:color w:val="000000"/>
        </w:rPr>
        <w:t>与</w:t>
      </w:r>
      <w:r>
        <w:rPr>
          <w:rFonts w:eastAsia="Times New Roman" w:cs="Times New Roman"/>
          <w:color w:val="000000"/>
        </w:rPr>
        <w:t>D/d</w:t>
      </w:r>
      <w:r>
        <w:rPr>
          <w:rFonts w:ascii="宋体" w:hAnsi="宋体"/>
          <w:color w:val="000000"/>
        </w:rPr>
        <w:t>不</w:t>
      </w:r>
      <w:r>
        <w:rPr>
          <w:rFonts w:ascii="宋体" w:hAnsi="宋体"/>
          <w:noProof/>
          <w:color w:val="000000"/>
          <w:position w:val="-1"/>
        </w:rPr>
        <w:drawing>
          <wp:inline distT="0" distB="0" distL="114300" distR="114300" wp14:anchorId="5C5D2349" wp14:editId="7C1F9955">
            <wp:extent cx="139700" cy="190500"/>
            <wp:effectExtent l="0" t="0" r="12700" b="0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同一对同源染色体上，遵循自由组合定律</w:t>
      </w:r>
    </w:p>
    <w:p w14:paraId="0F862EE9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组的</w:t>
      </w:r>
      <w:r>
        <w:rPr>
          <w:rFonts w:eastAsia="Times New Roman" w:cs="Times New Roman"/>
          <w:color w:val="000000"/>
        </w:rPr>
        <w:t>F</w:t>
      </w:r>
      <w:r>
        <w:rPr>
          <w:rFonts w:eastAsia="Times New Roman" w:cs="Times New Roman"/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个体，基因型分别是</w:t>
      </w:r>
      <w:r>
        <w:rPr>
          <w:rFonts w:eastAsia="Times New Roman" w:cs="Times New Roman"/>
          <w:color w:val="000000"/>
        </w:rPr>
        <w:t>AaBBDd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AaBbDD</w:t>
      </w:r>
    </w:p>
    <w:p w14:paraId="29C268CD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组产生的</w:t>
      </w:r>
      <w:r>
        <w:rPr>
          <w:rFonts w:eastAsia="Times New Roman" w:cs="Times New Roman"/>
          <w:color w:val="000000"/>
        </w:rPr>
        <w:t>F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，其紫色个体中有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种基因型</w:t>
      </w:r>
    </w:p>
    <w:p w14:paraId="223B573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组产生的</w:t>
      </w:r>
      <w:r>
        <w:rPr>
          <w:rFonts w:eastAsia="Times New Roman" w:cs="Times New Roman"/>
          <w:color w:val="000000"/>
        </w:rPr>
        <w:t>F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，其白色个体中纯合子占</w:t>
      </w:r>
      <w:r>
        <w:rPr>
          <w:rFonts w:eastAsia="Times New Roman" w:cs="Times New Roman"/>
          <w:color w:val="000000"/>
        </w:rPr>
        <w:t>1/2</w:t>
      </w:r>
    </w:p>
    <w:p w14:paraId="598EA609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二、非选择题：本题共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60</w:t>
      </w:r>
      <w:r>
        <w:rPr>
          <w:rFonts w:ascii="宋体" w:hAnsi="宋体"/>
          <w:b/>
          <w:color w:val="000000"/>
          <w:sz w:val="24"/>
        </w:rPr>
        <w:t>分。</w:t>
      </w:r>
    </w:p>
    <w:p w14:paraId="5084902B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eastAsia="Times New Roman" w:cs="Times New Roman"/>
          <w:color w:val="000000"/>
        </w:rPr>
        <w:t>β-</w:t>
      </w:r>
      <w:r>
        <w:rPr>
          <w:rFonts w:ascii="宋体" w:hAnsi="宋体"/>
          <w:color w:val="000000"/>
        </w:rPr>
        <w:t>地中海贫血是人</w:t>
      </w:r>
      <w:r>
        <w:rPr>
          <w:rFonts w:eastAsia="Times New Roman" w:cs="Times New Roman"/>
          <w:color w:val="000000"/>
        </w:rPr>
        <w:t>11</w:t>
      </w:r>
      <w:r>
        <w:rPr>
          <w:rFonts w:ascii="宋体" w:hAnsi="宋体"/>
          <w:color w:val="000000"/>
        </w:rPr>
        <w:t>号染色体上</w:t>
      </w:r>
      <w:r>
        <w:rPr>
          <w:rFonts w:eastAsia="Times New Roman" w:cs="Times New Roman"/>
          <w:color w:val="000000"/>
        </w:rPr>
        <w:t>β-</w:t>
      </w:r>
      <w:r>
        <w:rPr>
          <w:rFonts w:ascii="宋体" w:hAnsi="宋体"/>
          <w:color w:val="000000"/>
        </w:rPr>
        <w:t>珠蛋白基因</w:t>
      </w:r>
      <w:r>
        <w:rPr>
          <w:rFonts w:eastAsia="Times New Roman" w:cs="Times New Roman"/>
          <w:color w:val="000000"/>
        </w:rPr>
        <w:t>HBB</w:t>
      </w:r>
      <w:r>
        <w:rPr>
          <w:rFonts w:ascii="宋体" w:hAnsi="宋体"/>
          <w:color w:val="000000"/>
        </w:rPr>
        <w:t>突变所造成的遗传病。如图为</w:t>
      </w:r>
      <w:r>
        <w:rPr>
          <w:rFonts w:eastAsia="Times New Roman" w:cs="Times New Roman"/>
          <w:color w:val="000000"/>
        </w:rPr>
        <w:t>HBB</w:t>
      </w:r>
      <w:r>
        <w:rPr>
          <w:rFonts w:ascii="宋体" w:hAnsi="宋体"/>
          <w:color w:val="000000"/>
        </w:rPr>
        <w:t>几种常见的基因突变位点及功能区域示意图。回答下列问题：</w:t>
      </w:r>
    </w:p>
    <w:p w14:paraId="089BA6DA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 wp14:anchorId="634A4EB5" wp14:editId="34BA6745">
            <wp:extent cx="4914900" cy="123825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CBBE1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注：</w:t>
      </w:r>
      <w:r>
        <w:rPr>
          <w:rFonts w:eastAsia="Times New Roman" w:cs="Times New Roman"/>
          <w:color w:val="000000"/>
        </w:rPr>
        <w:t>-28A→C</w:t>
      </w:r>
      <w:r>
        <w:rPr>
          <w:rFonts w:ascii="宋体" w:hAnsi="宋体"/>
          <w:color w:val="000000"/>
        </w:rPr>
        <w:t>中，</w:t>
      </w:r>
      <w:r>
        <w:rPr>
          <w:rFonts w:eastAsia="Times New Roman" w:cs="Times New Roman"/>
          <w:color w:val="000000"/>
        </w:rPr>
        <w:t>“-”</w:t>
      </w:r>
      <w:r>
        <w:rPr>
          <w:rFonts w:ascii="宋体" w:hAnsi="宋体"/>
          <w:color w:val="000000"/>
        </w:rPr>
        <w:t>表示转录起始位点前，数值表示碱基位点，</w:t>
      </w:r>
      <w:r>
        <w:rPr>
          <w:rFonts w:eastAsia="Times New Roman" w:cs="Times New Roman"/>
          <w:color w:val="000000"/>
        </w:rPr>
        <w:t>A→C</w:t>
      </w:r>
      <w:r>
        <w:rPr>
          <w:rFonts w:ascii="宋体" w:hAnsi="宋体"/>
          <w:color w:val="000000"/>
        </w:rPr>
        <w:t>表示碱基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突变为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；仅标示了非模板链上的变化，模板链也发生对应变化，但没有标示出来。</w:t>
      </w:r>
    </w:p>
    <w:p w14:paraId="3EA099E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654C→T</w:t>
      </w:r>
      <w:r>
        <w:rPr>
          <w:rFonts w:ascii="宋体" w:hAnsi="宋体"/>
          <w:color w:val="000000"/>
        </w:rPr>
        <w:t>突变，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（选填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会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不会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）增加该基因呤碱基总数量。</w:t>
      </w:r>
      <w:r>
        <w:rPr>
          <w:rFonts w:eastAsia="Times New Roman" w:cs="Times New Roman"/>
          <w:color w:val="000000"/>
        </w:rPr>
        <w:t>-28A→C</w:t>
      </w:r>
      <w:r>
        <w:rPr>
          <w:rFonts w:ascii="宋体" w:hAnsi="宋体"/>
          <w:color w:val="000000"/>
        </w:rPr>
        <w:t>突变，会导致</w:t>
      </w:r>
      <w:r>
        <w:rPr>
          <w:rFonts w:eastAsia="Times New Roman" w:cs="Times New Roman"/>
          <w:color w:val="000000"/>
        </w:rPr>
        <w:t>β-</w:t>
      </w:r>
      <w:r>
        <w:rPr>
          <w:rFonts w:ascii="宋体" w:hAnsi="宋体"/>
          <w:color w:val="000000"/>
        </w:rPr>
        <w:t>珠蛋白的表达异常，其原因是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323D13B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HBB</w:t>
      </w:r>
      <w:r>
        <w:rPr>
          <w:rFonts w:ascii="宋体" w:hAnsi="宋体"/>
          <w:color w:val="000000"/>
        </w:rPr>
        <w:t>在转录形成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的过程中，细胞核内特定</w:t>
      </w:r>
      <w:r>
        <w:rPr>
          <w:rFonts w:eastAsia="Times New Roman" w:cs="Times New Roman"/>
          <w:color w:val="000000"/>
        </w:rPr>
        <w:t>RNA</w:t>
      </w:r>
      <w:r>
        <w:rPr>
          <w:rFonts w:ascii="宋体" w:hAnsi="宋体"/>
          <w:color w:val="000000"/>
        </w:rPr>
        <w:t>复合物能特异性识别初级转录产物（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前体），并将内含子对应区域剪切</w:t>
      </w:r>
      <w:r>
        <w:rPr>
          <w:rFonts w:ascii="宋体" w:hAnsi="宋体"/>
          <w:color w:val="000000"/>
        </w:rPr>
        <w:lastRenderedPageBreak/>
        <w:t>以及拼接外显子对应区域，这表明上述</w:t>
      </w:r>
      <w:r>
        <w:rPr>
          <w:rFonts w:eastAsia="Times New Roman" w:cs="Times New Roman"/>
          <w:color w:val="000000"/>
        </w:rPr>
        <w:t>RNA</w:t>
      </w:r>
      <w:r>
        <w:rPr>
          <w:rFonts w:ascii="宋体" w:hAnsi="宋体"/>
          <w:color w:val="000000"/>
        </w:rPr>
        <w:t>复合物是一种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6C2A941E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含有</w:t>
      </w:r>
      <w:r>
        <w:rPr>
          <w:rFonts w:eastAsia="Times New Roman" w:cs="Times New Roman"/>
          <w:color w:val="000000"/>
        </w:rPr>
        <w:t>17A→T</w:t>
      </w:r>
      <w:r>
        <w:rPr>
          <w:rFonts w:ascii="宋体" w:hAnsi="宋体"/>
          <w:color w:val="000000"/>
        </w:rPr>
        <w:t>突变的</w:t>
      </w:r>
      <w:r>
        <w:rPr>
          <w:rFonts w:eastAsia="Times New Roman" w:cs="Times New Roman"/>
          <w:color w:val="000000"/>
        </w:rPr>
        <w:t>HBB</w:t>
      </w:r>
      <w:r>
        <w:rPr>
          <w:rFonts w:ascii="宋体" w:hAnsi="宋体"/>
          <w:color w:val="000000"/>
        </w:rPr>
        <w:t>转录出的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，对应位点的碱基是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3881430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某男性一条染色体上的</w:t>
      </w:r>
      <w:r>
        <w:rPr>
          <w:rFonts w:eastAsia="Times New Roman" w:cs="Times New Roman"/>
          <w:color w:val="000000"/>
        </w:rPr>
        <w:t>HBB</w:t>
      </w:r>
      <w:r>
        <w:rPr>
          <w:rFonts w:ascii="宋体" w:hAnsi="宋体"/>
          <w:color w:val="000000"/>
        </w:rPr>
        <w:t>存在突变位点</w:t>
      </w:r>
      <w:r>
        <w:rPr>
          <w:rFonts w:eastAsia="Times New Roman" w:cs="Times New Roman"/>
          <w:color w:val="000000"/>
        </w:rPr>
        <w:t>W</w:t>
      </w:r>
      <w:r>
        <w:rPr>
          <w:rFonts w:ascii="宋体" w:hAnsi="宋体"/>
          <w:color w:val="000000"/>
        </w:rPr>
        <w:t>，其配偶无</w:t>
      </w:r>
      <w:r>
        <w:rPr>
          <w:rFonts w:eastAsia="Times New Roman" w:cs="Times New Roman"/>
          <w:color w:val="000000"/>
        </w:rPr>
        <w:t>W</w:t>
      </w:r>
      <w:r>
        <w:rPr>
          <w:rFonts w:ascii="宋体" w:hAnsi="宋体"/>
          <w:color w:val="000000"/>
        </w:rPr>
        <w:t>突变，他们生育的孩子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（选填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一定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不一定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）存在该突变，从遗传概率角度分析，其原因是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。为有效降低人群中</w:t>
      </w:r>
      <w:r>
        <w:rPr>
          <w:rFonts w:eastAsia="Times New Roman" w:cs="Times New Roman"/>
          <w:color w:val="000000"/>
        </w:rPr>
        <w:t>β-</w:t>
      </w:r>
      <w:r>
        <w:rPr>
          <w:rFonts w:ascii="宋体" w:hAnsi="宋体"/>
          <w:color w:val="000000"/>
        </w:rPr>
        <w:t>地中海贫血的发病率，可以采取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和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等措施。</w:t>
      </w:r>
    </w:p>
    <w:p w14:paraId="51F52E6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目前</w:t>
      </w:r>
      <w:r>
        <w:rPr>
          <w:rFonts w:eastAsia="Times New Roman" w:cs="Times New Roman"/>
          <w:color w:val="000000"/>
        </w:rPr>
        <w:t>CAR-T</w:t>
      </w:r>
      <w:r>
        <w:rPr>
          <w:rFonts w:ascii="宋体" w:hAnsi="宋体"/>
          <w:color w:val="000000"/>
        </w:rPr>
        <w:t>细胞疗法在治疗血液恶性肿瘤方面具有较好效果。该疗法是在体外将特定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导入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细胞，获得</w:t>
      </w:r>
      <w:r>
        <w:rPr>
          <w:rFonts w:eastAsia="Times New Roman" w:cs="Times New Roman"/>
          <w:color w:val="000000"/>
        </w:rPr>
        <w:t>CAR-T</w:t>
      </w:r>
      <w:r>
        <w:rPr>
          <w:rFonts w:ascii="宋体" w:hAnsi="宋体"/>
          <w:color w:val="000000"/>
        </w:rPr>
        <w:t>细胞，然后输入患者体内进行治疗。回答下列问题：</w:t>
      </w:r>
    </w:p>
    <w:p w14:paraId="4601C42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细胞在体内分化、发育和成熟的主要器官是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4CCE5EB0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血液恶性肿瘤细胞表面存在特异性表达的</w:t>
      </w:r>
      <w:r>
        <w:rPr>
          <w:rFonts w:eastAsia="Times New Roman" w:cs="Times New Roman"/>
          <w:color w:val="000000"/>
        </w:rPr>
        <w:t>CD19</w:t>
      </w:r>
      <w:r>
        <w:rPr>
          <w:rFonts w:ascii="宋体" w:hAnsi="宋体"/>
          <w:color w:val="000000"/>
        </w:rPr>
        <w:t>蛋白。为了使</w:t>
      </w:r>
      <w:r>
        <w:rPr>
          <w:rFonts w:eastAsia="Times New Roman" w:cs="Times New Roman"/>
          <w:color w:val="000000"/>
        </w:rPr>
        <w:t>CAR-T</w:t>
      </w:r>
      <w:r>
        <w:rPr>
          <w:rFonts w:ascii="宋体" w:hAnsi="宋体"/>
          <w:color w:val="000000"/>
        </w:rPr>
        <w:t>细胞能识别肿瘤细胞，导入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细胞的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应能指导合成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随后该合成产物镶嵌在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上。</w:t>
      </w:r>
    </w:p>
    <w:p w14:paraId="241355F7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识别患者体内的肿瘤细胞后，</w:t>
      </w:r>
      <w:r>
        <w:rPr>
          <w:rFonts w:eastAsia="Times New Roman" w:cs="Times New Roman"/>
          <w:color w:val="000000"/>
        </w:rPr>
        <w:t>CAR-T</w:t>
      </w:r>
      <w:r>
        <w:rPr>
          <w:rFonts w:ascii="宋体" w:hAnsi="宋体"/>
          <w:color w:val="000000"/>
        </w:rPr>
        <w:t>细胞受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刺激并激活，最终增殖、分化为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将肿瘤细胞杀灭，该过程属于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免疫。</w:t>
      </w:r>
    </w:p>
    <w:p w14:paraId="14D597E9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CAR-T</w:t>
      </w:r>
      <w:r>
        <w:rPr>
          <w:rFonts w:ascii="宋体" w:hAnsi="宋体"/>
          <w:color w:val="000000"/>
        </w:rPr>
        <w:t>细胞输入患者前，要先清除患者体内的淋巴细胞，其目的是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61317B71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珊瑚是一类低等动物，可从环境中获取单细胞真核藻类虫黄藻，让其共生于自己细胞内，成为珊瑚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虫黄藻共生体。共生体的营养来源包括虫黄合成的有机物和摄取的浮游生物。研究人员在实验室研究温度升高对某珊瑚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虫黄藻共生体的两种类型（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型和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型）的影响，结果见下图。回答下列问题：</w:t>
      </w:r>
    </w:p>
    <w:p w14:paraId="425987ED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 wp14:anchorId="6E18A305" wp14:editId="4232F8AB">
            <wp:extent cx="3914775" cy="220027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05BD2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珊瑚细胞获取虫黄藻的方式是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（填物质运输方式）；虫黄藻可利用</w:t>
      </w:r>
      <w:r>
        <w:rPr>
          <w:rFonts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O</w:t>
      </w:r>
      <w:r>
        <w:rPr>
          <w:rFonts w:ascii="宋体" w:hAnsi="宋体"/>
          <w:color w:val="000000"/>
        </w:rPr>
        <w:t>在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（填细胞器名称）合成糖类，为珊瑚提供营养。</w:t>
      </w:r>
    </w:p>
    <w:p w14:paraId="118F877F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当光合呼吸比约等于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时，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型共生体仍能生长，其原因是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4A4DBE8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常温条件下，在缺少浮游生物的贫瘠海域，更具生存优势的共生体类型是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，理由是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2392D4AD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若升温后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型共生体的呼吸速率变化不明显，则据图分析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型共生体内的单个虫黄藻光合速率将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，理由是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52F5BAF3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紫茎泽兰原产于美洲，是我国西南地区常见入侵植物，常在入地草本层成为单一优势种，给农林牧业带来经济损失。回答下列问题：</w:t>
      </w:r>
    </w:p>
    <w:p w14:paraId="3811EEC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紫茎泽兰入侵后，最终会使生物多样性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2301C406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已知甲、乙和丙皆为本土陆生草本植物，且株高等性状与紫茎泽兰相似。图（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）为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种植物的生态位关系，由此可知紫茎泽兰入侵后对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植物影响最大，原因是：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；图（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）为上述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种植物的分布区域，其中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种植物分布已注明，若要采集甲和丙植物，最可能分别在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和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生境采集到。</w:t>
      </w:r>
    </w:p>
    <w:p w14:paraId="15C9E676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 wp14:anchorId="387A89B8" wp14:editId="50022A44">
            <wp:extent cx="4038600" cy="1838325"/>
            <wp:effectExtent l="0" t="0" r="0" b="9525"/>
            <wp:docPr id="100019" name="图片 100019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AECE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相比原产地，入侵后紫茎泽兰改变了叶片中氮元素的分配模式，具体情况见下表。从种间关系角度分析，入侵地紫茎泽兰减少用于防御的氮含量的原因是：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tbl>
      <w:tblPr>
        <w:tblW w:w="56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3675"/>
        <w:gridCol w:w="975"/>
        <w:gridCol w:w="975"/>
      </w:tblGrid>
      <w:tr w:rsidR="000B4A9E" w14:paraId="489F3B91" w14:textId="77777777">
        <w:trPr>
          <w:jc w:val="center"/>
        </w:trPr>
        <w:tc>
          <w:tcPr>
            <w:tcW w:w="3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B7EF797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氮元素含量的相关指标（</w:t>
            </w:r>
            <w:r>
              <w:rPr>
                <w:rFonts w:eastAsia="Times New Roman" w:cs="Times New Roman"/>
                <w:color w:val="000000"/>
              </w:rPr>
              <w:t>mg·m</w:t>
            </w:r>
            <w:r>
              <w:rPr>
                <w:color w:val="000000"/>
                <w:vertAlign w:val="superscript"/>
              </w:rPr>
              <w:t>-2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0ED3300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原产地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6CA43FD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入侵地</w:t>
            </w:r>
          </w:p>
        </w:tc>
      </w:tr>
      <w:tr w:rsidR="000B4A9E" w14:paraId="00793146" w14:textId="77777777">
        <w:trPr>
          <w:jc w:val="center"/>
        </w:trPr>
        <w:tc>
          <w:tcPr>
            <w:tcW w:w="3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1FBD10DB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叶片细胞壁中防御化合物的氮含量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333C599B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116.25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2D46640E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44.10</w:t>
            </w:r>
          </w:p>
        </w:tc>
      </w:tr>
      <w:tr w:rsidR="000B4A9E" w14:paraId="61253BC2" w14:textId="77777777">
        <w:trPr>
          <w:jc w:val="center"/>
        </w:trPr>
        <w:tc>
          <w:tcPr>
            <w:tcW w:w="3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4640925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叶绿体中</w:t>
            </w:r>
            <w:r>
              <w:rPr>
                <w:rFonts w:ascii="宋体" w:hAnsi="宋体"/>
                <w:noProof/>
                <w:color w:val="000000"/>
              </w:rPr>
              <w:drawing>
                <wp:inline distT="0" distB="0" distL="114300" distR="114300" wp14:anchorId="7E1C450C" wp14:editId="1D91CF1A">
                  <wp:extent cx="133350" cy="177800"/>
                  <wp:effectExtent l="0" t="0" r="0" b="13335"/>
                  <wp:docPr id="100025" name="图片 100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5" name="图片 10002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/>
                <w:color w:val="000000"/>
              </w:rPr>
              <w:t>氮含量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4CBFAB8E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712.5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0254717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793.8</w:t>
            </w:r>
          </w:p>
        </w:tc>
      </w:tr>
      <w:tr w:rsidR="000B4A9E" w14:paraId="311DF89C" w14:textId="77777777">
        <w:trPr>
          <w:jc w:val="center"/>
        </w:trPr>
        <w:tc>
          <w:tcPr>
            <w:tcW w:w="3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C726BCC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叶片总氮含量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7C9E67A4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1253.00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14:paraId="63FB0C91" w14:textId="77777777" w:rsidR="000B4A9E" w:rsidRDefault="00000000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1255.00</w:t>
            </w:r>
          </w:p>
        </w:tc>
      </w:tr>
    </w:tbl>
    <w:p w14:paraId="65D73BA8" w14:textId="77777777" w:rsidR="000B4A9E" w:rsidRDefault="000B4A9E">
      <w:pPr>
        <w:spacing w:line="360" w:lineRule="auto"/>
        <w:jc w:val="left"/>
        <w:textAlignment w:val="center"/>
        <w:rPr>
          <w:color w:val="000000"/>
        </w:rPr>
      </w:pPr>
    </w:p>
    <w:p w14:paraId="0D1884B6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利用农药进行化学防控是控制紫茎泽兰扩散的一种方法，该方法的弊端有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（至少答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点）。</w:t>
      </w:r>
    </w:p>
    <w:p w14:paraId="00A7E41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蛋白与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记忆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的形成密切相关。科研人员制备了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基因表达可控的实验模型小鼠，主要制作流程见下图，实验模型小鼠通过特异性表达</w:t>
      </w:r>
      <w:r>
        <w:rPr>
          <w:rFonts w:eastAsia="Times New Roman" w:cs="Times New Roman"/>
          <w:color w:val="000000"/>
        </w:rPr>
        <w:t>Cre</w:t>
      </w:r>
      <w:r>
        <w:rPr>
          <w:rFonts w:ascii="宋体" w:hAnsi="宋体"/>
          <w:color w:val="000000"/>
        </w:rPr>
        <w:t>重组酶来敲除两个</w:t>
      </w:r>
      <w:r>
        <w:rPr>
          <w:rFonts w:eastAsia="Times New Roman" w:cs="Times New Roman"/>
          <w:color w:val="000000"/>
        </w:rPr>
        <w:t>LoxP</w:t>
      </w:r>
      <w:r>
        <w:rPr>
          <w:rFonts w:ascii="宋体" w:hAnsi="宋体"/>
          <w:color w:val="000000"/>
        </w:rPr>
        <w:t>位点间的序列，同时利用体内表达的蛋白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激活诱导型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启动子。利用融合绿色荧光蛋白基因的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基因（</w:t>
      </w:r>
      <w:r>
        <w:rPr>
          <w:rFonts w:eastAsia="Times New Roman" w:cs="Times New Roman"/>
          <w:color w:val="000000"/>
        </w:rPr>
        <w:t>M-GFP</w:t>
      </w:r>
      <w:r>
        <w:rPr>
          <w:rFonts w:ascii="宋体" w:hAnsi="宋体"/>
          <w:color w:val="000000"/>
        </w:rPr>
        <w:t>）的表达，恢复小鼠自身被敲除的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基因功能，同时便于示踪。回答下列问题：</w:t>
      </w:r>
    </w:p>
    <w:p w14:paraId="43E5A251" w14:textId="77777777" w:rsidR="000B4A9E" w:rsidRDefault="00000000">
      <w:pPr>
        <w:spacing w:line="360" w:lineRule="auto"/>
        <w:jc w:val="center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 wp14:anchorId="7DC2E817" wp14:editId="394EBDC8">
            <wp:extent cx="5238750" cy="5144135"/>
            <wp:effectExtent l="0" t="0" r="0" b="18415"/>
            <wp:docPr id="100021" name="图片 100021" descr="学科网(www.zxxk.com)--教育资源门户，提供试卷、教案、课件、论文、素材以及各类教学资源下载，还有大量而丰富的教学相关资讯！ YFtodJhiJqXNAx1ODbqMbQ=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 YFtodJhiJqXNAx1ODbqMbQ==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14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90C91A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注：基因型</w:t>
      </w:r>
      <w:r>
        <w:rPr>
          <w:rFonts w:eastAsia="Times New Roman" w:cs="Times New Roman"/>
          <w:color w:val="000000"/>
        </w:rPr>
        <w:t>A/+</w:t>
      </w:r>
      <w:r>
        <w:rPr>
          <w:rFonts w:ascii="宋体" w:hAnsi="宋体"/>
          <w:color w:val="000000"/>
        </w:rPr>
        <w:t>指的是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基因被嵌合在细胞同源染色体中的一条，即可表示为</w:t>
      </w:r>
      <w:r>
        <w:rPr>
          <w:rFonts w:eastAsia="Times New Roman" w:cs="Times New Roman"/>
          <w:color w:val="000000"/>
        </w:rPr>
        <w:t>Aa</w:t>
      </w:r>
      <w:r>
        <w:rPr>
          <w:rFonts w:ascii="宋体" w:hAnsi="宋体"/>
          <w:color w:val="000000"/>
        </w:rPr>
        <w:t>；两端添加上</w:t>
      </w:r>
      <w:r>
        <w:rPr>
          <w:rFonts w:eastAsia="Times New Roman" w:cs="Times New Roman"/>
          <w:color w:val="000000"/>
        </w:rPr>
        <w:t>LoxP</w:t>
      </w:r>
      <w:r>
        <w:rPr>
          <w:rFonts w:ascii="宋体" w:hAnsi="宋体"/>
          <w:color w:val="000000"/>
        </w:rPr>
        <w:t>位点的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基因称为</w:t>
      </w:r>
      <w:r>
        <w:rPr>
          <w:rFonts w:eastAsia="Times New Roman" w:cs="Times New Roman"/>
          <w:color w:val="000000"/>
        </w:rPr>
        <w:t>floxM</w:t>
      </w:r>
      <w:r>
        <w:rPr>
          <w:rFonts w:ascii="宋体" w:hAnsi="宋体"/>
          <w:color w:val="000000"/>
        </w:rPr>
        <w:t>。</w:t>
      </w:r>
    </w:p>
    <w:p w14:paraId="5C7FE148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在</w:t>
      </w:r>
      <w:r>
        <w:rPr>
          <w:rFonts w:eastAsia="Times New Roman" w:cs="Times New Roman"/>
          <w:color w:val="000000"/>
        </w:rPr>
        <w:t>PCR</w:t>
      </w:r>
      <w:r>
        <w:rPr>
          <w:rFonts w:ascii="宋体" w:hAnsi="宋体"/>
          <w:color w:val="000000"/>
        </w:rPr>
        <w:t>扩增片段①和②时，通常会在所用引物的一端添加被限制酶识别的序列，该序列添加的位置位于引物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（选填</w:t>
      </w:r>
      <w:r>
        <w:rPr>
          <w:rFonts w:eastAsia="Times New Roman" w:cs="Times New Roman"/>
          <w:color w:val="000000"/>
        </w:rPr>
        <w:t>“3'</w:t>
      </w:r>
      <w:r>
        <w:rPr>
          <w:rFonts w:ascii="宋体" w:hAnsi="宋体"/>
          <w:color w:val="000000"/>
        </w:rPr>
        <w:t>端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“5'</w:t>
      </w:r>
      <w:r>
        <w:rPr>
          <w:rFonts w:ascii="宋体" w:hAnsi="宋体"/>
          <w:color w:val="000000"/>
        </w:rPr>
        <w:t>端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）。在构建载体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时，为了阻断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基因的表达，从转录水平考虑，连接的片段可以是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；而从翻译水平考虑，连接的片段可以是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。为了鉴定载体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是否构建成功，需要限制酶切割载体后，再进行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 w14:paraId="30F26425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培养小鼠胚胎干细胞需定时更换培养液，其目的是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（至少答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方面）。</w:t>
      </w:r>
    </w:p>
    <w:p w14:paraId="5DF8A2E0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为了快速高效繁育出含有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对基因（遵循自由组合定律）的实验模型小鼠，应将培育出的基因型</w:t>
      </w:r>
      <w:r>
        <w:rPr>
          <w:rFonts w:eastAsia="Times New Roman" w:cs="Times New Roman"/>
          <w:color w:val="000000"/>
        </w:rPr>
        <w:t>Cre/+A/+</w:t>
      </w:r>
      <w:r>
        <w:rPr>
          <w:rFonts w:ascii="宋体" w:hAnsi="宋体"/>
          <w:color w:val="000000"/>
        </w:rPr>
        <w:t>小鼠和</w:t>
      </w:r>
      <w:r>
        <w:rPr>
          <w:rFonts w:eastAsia="Times New Roman" w:cs="Times New Roman"/>
          <w:color w:val="000000"/>
        </w:rPr>
        <w:t>M-GFP/+floxM/+</w:t>
      </w:r>
      <w:r>
        <w:rPr>
          <w:rFonts w:ascii="宋体" w:hAnsi="宋体"/>
          <w:color w:val="000000"/>
        </w:rPr>
        <w:t>小鼠分别与基因型</w:t>
      </w:r>
      <w:r>
        <w:rPr>
          <w:rFonts w:eastAsia="Times New Roman" w:cs="Times New Roman"/>
          <w:color w:val="000000"/>
        </w:rPr>
        <w:t>floxM/floxM</w:t>
      </w:r>
      <w:r>
        <w:rPr>
          <w:rFonts w:ascii="宋体" w:hAnsi="宋体"/>
          <w:color w:val="000000"/>
        </w:rPr>
        <w:t>小鼠杂交，杂交获得的子代，再进行一代杂交后最终获得基因型为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实验模型小鼠。</w:t>
      </w:r>
    </w:p>
    <w:p w14:paraId="268D5780" w14:textId="77777777" w:rsidR="000B4A9E" w:rsidRDefault="0000000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为了实现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基因的表达可控，在实验模型小鼠喂食时，可添加</w:t>
      </w:r>
      <w:r>
        <w:rPr>
          <w:rFonts w:ascii="宋体" w:hAnsi="宋体"/>
          <w:color w:val="000000"/>
        </w:rPr>
        <w:lastRenderedPageBreak/>
        <w:t>竞争性结合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蛋白的四环素，抑制</w:t>
      </w:r>
      <w:r>
        <w:rPr>
          <w:rFonts w:eastAsia="Times New Roman" w:cs="Times New Roman"/>
          <w:color w:val="000000"/>
        </w:rPr>
        <w:t>T</w:t>
      </w:r>
      <w:r>
        <w:rPr>
          <w:rFonts w:ascii="宋体" w:hAnsi="宋体"/>
          <w:color w:val="000000"/>
        </w:rPr>
        <w:t>启动子的活性。添加四环素与未添加相比，目的是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sectPr w:rsidR="000B4A9E"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FEA363" w14:textId="77777777" w:rsidR="00DF658A" w:rsidRDefault="00DF658A"/>
  </w:endnote>
  <w:endnote w:type="continuationSeparator" w:id="0">
    <w:p w14:paraId="12DBA827" w14:textId="77777777" w:rsidR="00DF658A" w:rsidRDefault="00DF658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B08277" w14:textId="77777777" w:rsidR="00DF658A" w:rsidRDefault="00DF658A"/>
  </w:footnote>
  <w:footnote w:type="continuationSeparator" w:id="0">
    <w:p w14:paraId="1C021FCA" w14:textId="77777777" w:rsidR="00DF658A" w:rsidRDefault="00DF658A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zoom w:percent="100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B4A9E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46FB7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C729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DF658A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492F0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8B1E4E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link w:val="a5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6">
    <w:name w:val="Hyperlink"/>
    <w:basedOn w:val="a0"/>
    <w:uiPriority w:val="99"/>
    <w:unhideWhenUsed/>
    <w:rPr>
      <w:color w:val="0000FF"/>
      <w:u w:val="single"/>
    </w:rPr>
  </w:style>
  <w:style w:type="character" w:customStyle="1" w:styleId="a5">
    <w:name w:val="页眉 字符"/>
    <w:basedOn w:val="a0"/>
    <w:link w:val="a4"/>
    <w:uiPriority w:val="99"/>
    <w:rPr>
      <w:kern w:val="2"/>
      <w:sz w:val="18"/>
      <w:szCs w:val="24"/>
    </w:rPr>
  </w:style>
  <w:style w:type="paragraph" w:styleId="a7">
    <w:name w:val="No Spacing"/>
    <w:uiPriority w:val="1"/>
    <w:qFormat/>
    <w:rPr>
      <w:rFonts w:asciiTheme="minorHAnsi" w:eastAsia="Microsoft YaHei UI" w:hAnsiTheme="minorHAnsi" w:cstheme="minorBidi"/>
      <w:sz w:val="22"/>
      <w:szCs w:val="22"/>
    </w:rPr>
  </w:style>
  <w:style w:type="paragraph" w:styleId="a8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wmf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786</Words>
  <Characters>4485</Characters>
  <Application>Microsoft Office Word</Application>
  <DocSecurity>0</DocSecurity>
  <Lines>37</Lines>
  <Paragraphs>10</Paragraphs>
  <ScaleCrop>false</ScaleCrop>
  <Company/>
  <LinksUpToDate>false</LinksUpToDate>
  <CharactersWithSpaces>5261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2025-03-04T03:20:00Z</dcterms:created>
  <dcterms:modified xsi:type="dcterms:W3CDTF">2025-03-04T03:20:00Z</dcterms:modified>
</cp:coreProperties>
</file>