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BFA4A">
      <w:pPr>
        <w:spacing w:line="360" w:lineRule="auto"/>
        <w:jc w:val="both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b/>
          <w:color w:val="auto"/>
          <w:sz w:val="24"/>
          <w:szCs w:val="24"/>
        </w:rPr>
        <w:t>绝密★启用前</w:t>
      </w:r>
    </w:p>
    <w:p w14:paraId="676CD561">
      <w:pPr>
        <w:spacing w:line="360" w:lineRule="auto"/>
        <w:jc w:val="center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32"/>
          <w:szCs w:val="24"/>
        </w:rPr>
        <w:t>2024</w:t>
      </w:r>
      <w:r>
        <w:rPr>
          <w:rFonts w:ascii="宋体" w:hAnsi="宋体" w:eastAsia="宋体" w:cs="宋体"/>
          <w:b/>
          <w:color w:val="auto"/>
          <w:sz w:val="32"/>
          <w:szCs w:val="24"/>
        </w:rPr>
        <w:t>年普通高等学校招生全国统一考试（全国甲卷）</w:t>
      </w:r>
    </w:p>
    <w:p w14:paraId="5EE32705">
      <w:pPr>
        <w:spacing w:line="360" w:lineRule="auto"/>
        <w:jc w:val="center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b/>
          <w:color w:val="auto"/>
          <w:sz w:val="32"/>
          <w:szCs w:val="24"/>
        </w:rPr>
        <w:t>历史</w:t>
      </w:r>
    </w:p>
    <w:p w14:paraId="784C6C28">
      <w:pPr>
        <w:spacing w:line="360" w:lineRule="auto"/>
        <w:jc w:val="both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b/>
          <w:color w:val="auto"/>
          <w:sz w:val="24"/>
          <w:szCs w:val="24"/>
        </w:rPr>
        <w:t>注意事项：</w:t>
      </w:r>
    </w:p>
    <w:p w14:paraId="3B192EDC">
      <w:pPr>
        <w:spacing w:line="360" w:lineRule="auto"/>
        <w:jc w:val="both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1</w:t>
      </w:r>
      <w:r>
        <w:rPr>
          <w:rFonts w:ascii="宋体" w:hAnsi="宋体" w:eastAsia="宋体" w:cs="宋体"/>
          <w:b/>
          <w:color w:val="auto"/>
          <w:sz w:val="24"/>
          <w:szCs w:val="24"/>
        </w:rPr>
        <w:t>．答卷前，考生务必将自己的姓名、准考证号填写在答题卡上。</w:t>
      </w:r>
    </w:p>
    <w:p w14:paraId="7AFF1E02">
      <w:pPr>
        <w:spacing w:line="360" w:lineRule="auto"/>
        <w:jc w:val="both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2</w:t>
      </w:r>
      <w:r>
        <w:rPr>
          <w:rFonts w:ascii="宋体" w:hAnsi="宋体" w:eastAsia="宋体" w:cs="宋体"/>
          <w:b/>
          <w:color w:val="auto"/>
          <w:sz w:val="24"/>
          <w:szCs w:val="24"/>
        </w:rPr>
        <w:t>．回答选择题时，选出每小题答案后，用铅笔把答题卡上对应题目的答案标号涂黑。如需改动，用橡皮擦干净后，再选涂其它答案标号。回答非选择题时，将答案写在答题卡上。写在本试卷上无效。</w:t>
      </w:r>
    </w:p>
    <w:p w14:paraId="31A5DA75">
      <w:pPr>
        <w:spacing w:line="360" w:lineRule="auto"/>
        <w:jc w:val="both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3</w:t>
      </w:r>
      <w:r>
        <w:rPr>
          <w:rFonts w:ascii="宋体" w:hAnsi="宋体" w:eastAsia="宋体" w:cs="宋体"/>
          <w:b/>
          <w:color w:val="auto"/>
          <w:sz w:val="24"/>
          <w:szCs w:val="24"/>
        </w:rPr>
        <w:t>．考试结束后，将本试卷和答题卡一并交回。</w:t>
      </w:r>
    </w:p>
    <w:p w14:paraId="3E959A67">
      <w:pPr>
        <w:spacing w:line="360" w:lineRule="auto"/>
        <w:jc w:val="both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b/>
          <w:color w:val="auto"/>
          <w:sz w:val="24"/>
          <w:szCs w:val="24"/>
        </w:rPr>
        <w:t>一、选择题：本题共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12</w:t>
      </w:r>
      <w:r>
        <w:rPr>
          <w:rFonts w:ascii="宋体" w:hAnsi="宋体" w:eastAsia="宋体" w:cs="宋体"/>
          <w:b/>
          <w:color w:val="auto"/>
          <w:sz w:val="24"/>
          <w:szCs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4</w:t>
      </w:r>
      <w:r>
        <w:rPr>
          <w:rFonts w:ascii="宋体" w:hAnsi="宋体" w:eastAsia="宋体" w:cs="宋体"/>
          <w:b/>
          <w:color w:val="auto"/>
          <w:sz w:val="24"/>
          <w:szCs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48</w:t>
      </w:r>
      <w:r>
        <w:rPr>
          <w:rFonts w:ascii="宋体" w:hAnsi="宋体" w:eastAsia="宋体" w:cs="宋体"/>
          <w:b/>
          <w:color w:val="auto"/>
          <w:sz w:val="24"/>
          <w:szCs w:val="24"/>
        </w:rPr>
        <w:t>分。在每小题列出的四个选项中，只有一项是最符合题目要求的。</w:t>
      </w:r>
    </w:p>
    <w:p w14:paraId="76202217">
      <w:pPr>
        <w:spacing w:line="360" w:lineRule="auto"/>
        <w:jc w:val="both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 xml:space="preserve">1. </w:t>
      </w:r>
      <w:r>
        <w:rPr>
          <w:rFonts w:ascii="宋体" w:hAnsi="宋体" w:eastAsia="宋体" w:cs="宋体"/>
          <w:color w:val="auto"/>
          <w:szCs w:val="24"/>
        </w:rPr>
        <w:t>春秋时期，周王室衰弱，齐、晋、楚乃至吴、越等诸侯国争当“盟主”。获得盟主身份意味着（　　）</w:t>
      </w:r>
    </w:p>
    <w:p w14:paraId="73FE3A0B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szCs w:val="24"/>
        </w:rPr>
        <w:t xml:space="preserve">A. </w:t>
      </w:r>
      <w:r>
        <w:rPr>
          <w:rFonts w:ascii="宋体" w:hAnsi="宋体" w:eastAsia="宋体" w:cs="宋体"/>
          <w:color w:val="auto"/>
          <w:szCs w:val="24"/>
        </w:rPr>
        <w:t>拥有分封诸侯的权力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B. </w:t>
      </w:r>
      <w:r>
        <w:rPr>
          <w:rFonts w:ascii="宋体" w:hAnsi="宋体" w:eastAsia="宋体" w:cs="宋体"/>
          <w:color w:val="auto"/>
          <w:szCs w:val="24"/>
        </w:rPr>
        <w:t>成为诸侯国的“大宗”</w:t>
      </w:r>
    </w:p>
    <w:p w14:paraId="25D40923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szCs w:val="24"/>
        </w:rPr>
        <w:t xml:space="preserve">C. </w:t>
      </w:r>
      <w:r>
        <w:rPr>
          <w:rFonts w:ascii="宋体" w:hAnsi="宋体" w:eastAsia="宋体" w:cs="宋体"/>
          <w:color w:val="auto"/>
          <w:szCs w:val="24"/>
        </w:rPr>
        <w:t>免除交纳贡赋</w:t>
      </w:r>
      <w:r>
        <w:rPr>
          <w:rFonts w:ascii="宋体" w:hAnsi="宋体" w:eastAsia="宋体" w:cs="宋体"/>
          <w:color w:val="auto"/>
          <w:position w:val="0"/>
          <w:szCs w:val="24"/>
        </w:rPr>
        <w:drawing>
          <wp:inline distT="0" distB="0" distL="114300" distR="114300">
            <wp:extent cx="133350" cy="177800"/>
            <wp:effectExtent l="0" t="0" r="0" b="1333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  <w:szCs w:val="24"/>
        </w:rPr>
        <w:t>义务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D. </w:t>
      </w:r>
      <w:r>
        <w:rPr>
          <w:rFonts w:ascii="宋体" w:hAnsi="宋体" w:eastAsia="宋体" w:cs="宋体"/>
          <w:color w:val="auto"/>
          <w:szCs w:val="24"/>
        </w:rPr>
        <w:t>取得号令各国的地位</w:t>
      </w:r>
    </w:p>
    <w:p w14:paraId="7B5760A4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2. </w:t>
      </w:r>
      <w:r>
        <w:rPr>
          <w:rFonts w:ascii="宋体" w:hAnsi="宋体" w:eastAsia="宋体" w:cs="宋体"/>
          <w:color w:val="000000"/>
          <w:szCs w:val="24"/>
        </w:rPr>
        <w:t>《齐民要术》提倡在市场附近种植速生树种以获利。隋代长安大量屯兵，出现“樵贵帛贱”的现象。唐中期“京师苦樵薪乏”，后期百姓甚至砍伐桑树，运到市场上“卖作薪蒸”。上述现象表明隋唐时期（　　）</w:t>
      </w:r>
    </w:p>
    <w:p w14:paraId="01EBE50A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重农抑商政策废弛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都城能源问题突出</w:t>
      </w:r>
    </w:p>
    <w:p w14:paraId="0D3DD917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自然生态环境好转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市镇经济开始崛起</w:t>
      </w:r>
    </w:p>
    <w:p w14:paraId="77BB4900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3. </w:t>
      </w:r>
      <w:r>
        <w:rPr>
          <w:rFonts w:ascii="宋体" w:hAnsi="宋体" w:eastAsia="宋体" w:cs="宋体"/>
          <w:color w:val="000000"/>
          <w:szCs w:val="24"/>
        </w:rPr>
        <w:t>明弘治年间（</w:t>
      </w:r>
      <w:r>
        <w:rPr>
          <w:rFonts w:ascii="Times New Roman" w:hAnsi="Times New Roman" w:eastAsia="Times New Roman" w:cs="Times New Roman"/>
          <w:color w:val="000000"/>
          <w:szCs w:val="24"/>
        </w:rPr>
        <w:t>1488</w:t>
      </w:r>
      <w:r>
        <w:rPr>
          <w:rFonts w:ascii="宋体" w:hAnsi="宋体" w:eastAsia="宋体" w:cs="宋体"/>
          <w:color w:val="000000"/>
          <w:szCs w:val="24"/>
        </w:rPr>
        <w:t>—</w:t>
      </w:r>
      <w:r>
        <w:rPr>
          <w:rFonts w:ascii="Times New Roman" w:hAnsi="Times New Roman" w:eastAsia="Times New Roman" w:cs="Times New Roman"/>
          <w:color w:val="000000"/>
          <w:szCs w:val="24"/>
        </w:rPr>
        <w:t>1505</w:t>
      </w:r>
      <w:r>
        <w:rPr>
          <w:rFonts w:ascii="宋体" w:hAnsi="宋体" w:eastAsia="宋体" w:cs="宋体"/>
          <w:color w:val="000000"/>
          <w:szCs w:val="24"/>
        </w:rPr>
        <w:t>），进士邝璠编撰《便民图纂》，内容强调“以衣食生人为本”，涉及生产、生活、医疗等，同时将所引图幅中一些艰涩的诗歌改写成通俗易懂的民歌。明中后期，此类日用之书十分流行。这反映出当时（　　）</w:t>
      </w:r>
    </w:p>
    <w:p w14:paraId="7F67B3F8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朝廷强化社会控制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士大夫生活平民化</w:t>
      </w:r>
    </w:p>
    <w:p w14:paraId="46887B7B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知识受众范围扩大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四民社会结构打破</w:t>
      </w:r>
    </w:p>
    <w:p w14:paraId="58573B69">
      <w:pPr>
        <w:spacing w:line="360" w:lineRule="auto"/>
        <w:ind w:left="30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4. </w:t>
      </w:r>
      <w:r>
        <w:rPr>
          <w:rFonts w:ascii="宋体" w:hAnsi="宋体" w:eastAsia="宋体" w:cs="宋体"/>
          <w:color w:val="000000"/>
          <w:szCs w:val="24"/>
        </w:rPr>
        <w:t>清代，《三国演义》《西游记》等数十部小说被翻译成满语印行。另《大清律例》规定，对内容“秽恶”的小说“尽行销毁”，如再制作、售卖、阅读，加以刑处。这使（　　）</w:t>
      </w:r>
    </w:p>
    <w:p w14:paraId="049D3C4F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通俗文化发展陷入停滞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法律体系完成了儒家化</w:t>
      </w:r>
    </w:p>
    <w:p w14:paraId="79692BBB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君主专制统治趋于僵化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传统社会伦理得到维护</w:t>
      </w:r>
    </w:p>
    <w:p w14:paraId="258B6435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5. </w:t>
      </w:r>
      <w:r>
        <w:rPr>
          <w:rFonts w:ascii="宋体" w:hAnsi="宋体" w:eastAsia="宋体" w:cs="宋体"/>
          <w:color w:val="000000"/>
          <w:szCs w:val="24"/>
        </w:rPr>
        <w:t>据研究，</w:t>
      </w:r>
      <w:r>
        <w:rPr>
          <w:rFonts w:ascii="Times New Roman" w:hAnsi="Times New Roman" w:eastAsia="Times New Roman" w:cs="Times New Roman"/>
          <w:color w:val="000000"/>
          <w:szCs w:val="24"/>
        </w:rPr>
        <w:t>19</w:t>
      </w:r>
      <w:r>
        <w:rPr>
          <w:rFonts w:ascii="宋体" w:hAnsi="宋体" w:eastAsia="宋体" w:cs="宋体"/>
          <w:color w:val="000000"/>
          <w:szCs w:val="24"/>
        </w:rPr>
        <w:t>世纪上半叶，江南的地权相对集中，此后一段时期，—些府县地权趋于分散。例如</w:t>
      </w:r>
      <w:r>
        <w:rPr>
          <w:rFonts w:ascii="Times New Roman" w:hAnsi="Times New Roman" w:eastAsia="Times New Roman" w:cs="Times New Roman"/>
          <w:color w:val="000000"/>
          <w:szCs w:val="24"/>
        </w:rPr>
        <w:t>1888</w:t>
      </w:r>
      <w:r>
        <w:rPr>
          <w:rFonts w:ascii="宋体" w:hAnsi="宋体" w:eastAsia="宋体" w:cs="宋体"/>
          <w:color w:val="000000"/>
          <w:szCs w:val="24"/>
        </w:rPr>
        <w:t>年，有报道称镇江府“大地主不复存在”，大部分土地掌握在个体小农手中。造成这一变化的主要因素是（　　）</w:t>
      </w:r>
    </w:p>
    <w:p w14:paraId="426CD701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西方列强入侵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民族资本主义的逐渐发展</w:t>
      </w:r>
    </w:p>
    <w:p w14:paraId="4809E6C2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太平天国运动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农村土地商品化程度提高</w:t>
      </w:r>
    </w:p>
    <w:p w14:paraId="6E58020C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6. </w:t>
      </w:r>
      <w:r>
        <w:rPr>
          <w:rFonts w:ascii="Times New Roman" w:hAnsi="Times New Roman" w:eastAsia="Times New Roman" w:cs="Times New Roman"/>
          <w:color w:val="000000"/>
          <w:szCs w:val="24"/>
        </w:rPr>
        <w:t>20</w:t>
      </w:r>
      <w:r>
        <w:rPr>
          <w:rFonts w:ascii="宋体" w:hAnsi="宋体" w:eastAsia="宋体" w:cs="宋体"/>
          <w:color w:val="000000"/>
          <w:szCs w:val="24"/>
        </w:rPr>
        <w:t>世纪初，围绕是否以暴力手段推翻清朝统治等问题，改良派与革命派展开激烈论战。清政府宣布预备立宪后，改良派称“旬月之间，薄海内外，欢呼庆祝之声动天地”，梁启超认为“从此政治革命问题，可告一段落”。这可用于说明当时（　　）</w:t>
      </w:r>
    </w:p>
    <w:p w14:paraId="686D62DA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新政暂时缓和国内政治矛盾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新政的政治目标已经实现</w:t>
      </w:r>
    </w:p>
    <w:p w14:paraId="18B3C967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改良派阻止了革命发展进程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革命派获得民众广泛支持</w:t>
      </w:r>
    </w:p>
    <w:p w14:paraId="322B9006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7. </w:t>
      </w:r>
      <w:r>
        <w:rPr>
          <w:rFonts w:ascii="Times New Roman" w:hAnsi="Times New Roman" w:eastAsia="Times New Roman" w:cs="Times New Roman"/>
          <w:color w:val="000000"/>
          <w:szCs w:val="24"/>
        </w:rPr>
        <w:t>1943</w:t>
      </w:r>
      <w:r>
        <w:rPr>
          <w:rFonts w:ascii="宋体" w:hAnsi="宋体" w:eastAsia="宋体" w:cs="宋体"/>
          <w:color w:val="000000"/>
          <w:szCs w:val="24"/>
        </w:rPr>
        <w:t>年陕甘宁边区佳县城关区公粮负担情况</w:t>
      </w:r>
    </w:p>
    <w:tbl>
      <w:tblPr>
        <w:tblStyle w:val="5"/>
        <w:tblW w:w="7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58"/>
        <w:gridCol w:w="1168"/>
        <w:gridCol w:w="1842"/>
        <w:gridCol w:w="2125"/>
        <w:gridCol w:w="1692"/>
      </w:tblGrid>
      <w:tr w14:paraId="285E3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66FC08D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阶层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7D7205E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人口数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A0DD02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粮食收入（石）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3DC142F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公粮占总收入（%）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4D58278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人均负担（%）</w:t>
            </w:r>
          </w:p>
        </w:tc>
      </w:tr>
      <w:tr w14:paraId="4C144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A8CF8B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地主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30E38B5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91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CE9AAE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642.0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E460820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16.3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40BF23D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1.150</w:t>
            </w:r>
          </w:p>
        </w:tc>
      </w:tr>
      <w:tr w14:paraId="14309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C83AB6B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富农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63B71D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356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CE6B63F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679.5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DBE73A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13.5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C24F3E6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0</w:t>
            </w:r>
            <w:r>
              <w:rPr>
                <w:rFonts w:ascii="宋体" w:hAnsi="宋体" w:eastAsia="宋体" w:cs="宋体"/>
                <w:color w:val="000000"/>
                <w:position w:val="-22"/>
                <w:szCs w:val="24"/>
              </w:rPr>
              <w:drawing>
                <wp:inline distT="0" distB="0" distL="114300" distR="114300">
                  <wp:extent cx="31750" cy="88900"/>
                  <wp:effectExtent l="0" t="0" r="0" b="0"/>
                  <wp:docPr id="100013" name="图片 100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图片 10001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  <w:szCs w:val="24"/>
              </w:rPr>
              <w:t>258</w:t>
            </w:r>
          </w:p>
        </w:tc>
      </w:tr>
      <w:tr w14:paraId="2D331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583FA1C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中农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C8D5EF8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1352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3AF56F7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1481.8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489508C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8</w:t>
            </w:r>
            <w:r>
              <w:rPr>
                <w:rFonts w:ascii="宋体" w:hAnsi="宋体" w:eastAsia="宋体" w:cs="宋体"/>
                <w:color w:val="000000"/>
                <w:position w:val="-22"/>
                <w:szCs w:val="24"/>
              </w:rPr>
              <w:drawing>
                <wp:inline distT="0" distB="0" distL="114300" distR="114300">
                  <wp:extent cx="31750" cy="88900"/>
                  <wp:effectExtent l="0" t="0" r="0" b="0"/>
                  <wp:docPr id="100007" name="图片 100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  <w:szCs w:val="24"/>
              </w:rPr>
              <w:t>1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71663F3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0.089</w:t>
            </w:r>
          </w:p>
        </w:tc>
      </w:tr>
      <w:tr w14:paraId="3DAA7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029019B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贫农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CDED2A0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2496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9469146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1376.8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B3410AE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2.1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20B4E2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0.012</w:t>
            </w:r>
          </w:p>
        </w:tc>
      </w:tr>
      <w:tr w14:paraId="573BE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B613D0B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雇农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CDF9CCF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235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5D344E6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58.8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09FB8B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 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AB350E3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 </w:t>
            </w:r>
          </w:p>
        </w:tc>
      </w:tr>
      <w:tr w14:paraId="32DDD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6FC4984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其他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3174EA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214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65B241E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111.3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477BEC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position w:val="-22"/>
                <w:szCs w:val="24"/>
              </w:rPr>
              <w:drawing>
                <wp:inline distT="0" distB="0" distL="114300" distR="114300">
                  <wp:extent cx="31750" cy="88900"/>
                  <wp:effectExtent l="0" t="0" r="0" b="0"/>
                  <wp:docPr id="100011" name="图片 100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图片 10001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  <w:szCs w:val="24"/>
              </w:rPr>
              <w:t>7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FBF540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0.014</w:t>
            </w:r>
          </w:p>
        </w:tc>
      </w:tr>
    </w:tbl>
    <w:p w14:paraId="63CA9016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表中可用于说明根据地（　　）</w:t>
      </w:r>
    </w:p>
    <w:p w14:paraId="0FEE9341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社会阶级关系发生巨变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农民的土地要求已获得满足</w:t>
      </w:r>
    </w:p>
    <w:p w14:paraId="3A49A72E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开始出现严重经济困难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抗日民族统一战线得到巩固</w:t>
      </w:r>
    </w:p>
    <w:p w14:paraId="50D59BF2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8. </w:t>
      </w:r>
      <w:r>
        <w:rPr>
          <w:rFonts w:ascii="Times New Roman" w:hAnsi="Times New Roman" w:eastAsia="Times New Roman" w:cs="Times New Roman"/>
          <w:color w:val="000000"/>
          <w:szCs w:val="24"/>
        </w:rPr>
        <w:t>1982</w:t>
      </w:r>
      <w:r>
        <w:rPr>
          <w:rFonts w:ascii="宋体" w:hAnsi="宋体" w:eastAsia="宋体" w:cs="宋体"/>
          <w:color w:val="000000"/>
          <w:szCs w:val="24"/>
        </w:rPr>
        <w:t>年通过的《中华人民共和国宪法》规定，公民有进行科学研究、文学艺术创作和其他文化活动的自由；国家对从事教育、科学技术、艺术等有益于人民的创造性工作，给予鼓励和帮助。这一规定（　　）</w:t>
      </w:r>
    </w:p>
    <w:p w14:paraId="6209C8A1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有利于“双百”方针的实行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开启了全社会的思想解放</w:t>
      </w:r>
    </w:p>
    <w:p w14:paraId="768ED841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规范了基层民主和法制建设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确立了科教文化发展方向</w:t>
      </w:r>
    </w:p>
    <w:p w14:paraId="7F4E0A77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9. </w:t>
      </w:r>
      <w:r>
        <w:rPr>
          <w:rFonts w:ascii="宋体" w:hAnsi="宋体" w:eastAsia="宋体" w:cs="宋体"/>
          <w:color w:val="000000"/>
          <w:szCs w:val="24"/>
        </w:rPr>
        <w:t>在14世纪之前，人们把时间寄托给上帝，时间是“走向永恒过渡”。而在文艺复兴时代，人文主义者除了在职业占用的时间之外，勤奋研究古典文艺，他们强调要掌握时间，把握当下。一位意大利的母亲在给她儿子的信中说道：“要好好利用时间，不要荒废了时间……”这表明文艺复兴（　　）</w:t>
      </w:r>
    </w:p>
    <w:p w14:paraId="63AB7DC8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冲击了宗教势力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因信称义开始确立</w:t>
      </w:r>
    </w:p>
    <w:p w14:paraId="3404A387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强化了世俗观念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天赋人权广泛传播</w:t>
      </w:r>
    </w:p>
    <w:p w14:paraId="683A2A2E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10. </w:t>
      </w:r>
      <w:r>
        <w:rPr>
          <w:rFonts w:ascii="宋体" w:hAnsi="宋体" w:eastAsia="宋体" w:cs="宋体"/>
          <w:color w:val="000000"/>
          <w:szCs w:val="24"/>
        </w:rPr>
        <w:t>有学者评论，当一个手织女工从织机旁站起来休息时，没有其他人等着接她的活去完成下一个工序，但是“在棉纺厂中，所有的机器都是开动着的，时刻都需要有人照看”“是机器迫使工人接受工厂纪律的”。这可以表明工业革命期间（　　）</w:t>
      </w:r>
    </w:p>
    <w:p w14:paraId="3144A0D4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生产组织方式发生深刻变革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机器大生产推动人身解放</w:t>
      </w:r>
    </w:p>
    <w:p w14:paraId="27E0A7E8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工厂纪律保障工人劳动权益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工人劳动自主性极大提高</w:t>
      </w:r>
    </w:p>
    <w:p w14:paraId="52ED95D9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11. </w:t>
      </w:r>
      <w:r>
        <w:rPr>
          <w:rFonts w:ascii="宋体" w:hAnsi="宋体" w:eastAsia="宋体" w:cs="宋体"/>
          <w:color w:val="000000"/>
          <w:szCs w:val="24"/>
        </w:rPr>
        <w:t>伏尔泰说：“像牛顿先生这样十个世纪里只涌现一个的杰出的人物，才真正是伟大的……我们应当尊敬的是凭真理的力量统治人心的人，而不是依靠暴力来奴役人的人；是认识宇宙的人，而不是歪曲宇宙的人。”据此可知，伏尔泰意在（　　）</w:t>
      </w:r>
    </w:p>
    <w:p w14:paraId="5F3A3E1D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倡导平等反对君主立宪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反对专制提倡理性</w:t>
      </w:r>
    </w:p>
    <w:p w14:paraId="643AD654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推翻生物起源的神创论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开创近代实验科学</w:t>
      </w:r>
    </w:p>
    <w:p w14:paraId="05C729B7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12. </w:t>
      </w:r>
      <w:r>
        <w:rPr>
          <w:rFonts w:ascii="Times New Roman" w:hAnsi="Times New Roman" w:eastAsia="Times New Roman" w:cs="Times New Roman"/>
          <w:color w:val="000000"/>
          <w:szCs w:val="24"/>
        </w:rPr>
        <w:t>1943</w:t>
      </w:r>
      <w:r>
        <w:rPr>
          <w:rFonts w:ascii="宋体" w:hAnsi="宋体" w:eastAsia="宋体" w:cs="宋体"/>
          <w:color w:val="000000"/>
          <w:szCs w:val="24"/>
        </w:rPr>
        <w:t>—</w:t>
      </w:r>
      <w:r>
        <w:rPr>
          <w:rFonts w:ascii="Times New Roman" w:hAnsi="Times New Roman" w:eastAsia="Times New Roman" w:cs="Times New Roman"/>
          <w:color w:val="000000"/>
          <w:szCs w:val="24"/>
        </w:rPr>
        <w:t>1944</w:t>
      </w:r>
      <w:r>
        <w:rPr>
          <w:rFonts w:ascii="宋体" w:hAnsi="宋体" w:eastAsia="宋体" w:cs="宋体"/>
          <w:color w:val="000000"/>
          <w:szCs w:val="24"/>
        </w:rPr>
        <w:t>年，美国发行了几部电影，赞扬苏联在反法西斯战争中的态度与行动。到</w:t>
      </w:r>
      <w:r>
        <w:rPr>
          <w:rFonts w:ascii="Times New Roman" w:hAnsi="Times New Roman" w:eastAsia="Times New Roman" w:cs="Times New Roman"/>
          <w:color w:val="000000"/>
          <w:szCs w:val="24"/>
        </w:rPr>
        <w:t>40</w:t>
      </w:r>
      <w:r>
        <w:rPr>
          <w:rFonts w:ascii="宋体" w:hAnsi="宋体" w:eastAsia="宋体" w:cs="宋体"/>
          <w:color w:val="000000"/>
          <w:szCs w:val="24"/>
        </w:rPr>
        <w:t>年代末，这些电影又成为批判对象，剧本撰写人及主演被纳入黑名单或遭遇审查。这一变化反映出（　　）</w:t>
      </w:r>
    </w:p>
    <w:p w14:paraId="6B874008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两极格局正式形成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国际局势的变动影响价值取向</w:t>
      </w:r>
    </w:p>
    <w:p w14:paraId="700B93A9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雅尔塔体系已崩溃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美国对苏遏制集中于文化领域</w:t>
      </w:r>
    </w:p>
    <w:p w14:paraId="65AD1B72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宋体" w:hAnsi="宋体" w:eastAsia="宋体" w:cs="宋体"/>
          <w:b/>
          <w:color w:val="000000"/>
          <w:sz w:val="24"/>
          <w:szCs w:val="24"/>
        </w:rPr>
        <w:t>二、非选择题：共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4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52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分。</w:t>
      </w:r>
    </w:p>
    <w:p w14:paraId="1B8EF9ED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13. </w:t>
      </w:r>
      <w:r>
        <w:rPr>
          <w:rFonts w:ascii="宋体" w:hAnsi="宋体" w:eastAsia="宋体" w:cs="宋体"/>
          <w:color w:val="000000"/>
          <w:szCs w:val="24"/>
        </w:rPr>
        <w:t>阅读材料，完成下列要求。</w:t>
      </w:r>
    </w:p>
    <w:p w14:paraId="04A55904">
      <w:pPr>
        <w:spacing w:line="360" w:lineRule="auto"/>
        <w:ind w:firstLine="420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材料一  中国数学历史悠久，周代“六艺”中就有“数”的内容，历代天象观测、历法编定等均须依靠数学知识。汉代的《九章算术》通过具体问题的应用运算，在分数、开方、线性方程组、勾股等多方面领先世界。魏晋的刘徽、南朝的祖冲之及其子祖暄，都是世界级数学家。隋唐置算学，与太学并立，将前代的十部数学专著作为讲习内容。宋元时出现了以秦九韶、朱世杰等为代表的杰出数学家，明清时期，官方数学教育衰落，西学传入，中国传统数学受到冲击。</w:t>
      </w:r>
    </w:p>
    <w:p w14:paraId="428B2A88">
      <w:pPr>
        <w:spacing w:line="360" w:lineRule="auto"/>
        <w:ind w:firstLine="420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——摘编自（英）李约瑟《中国科学技术史》等</w:t>
      </w:r>
    </w:p>
    <w:p w14:paraId="38031C76">
      <w:pPr>
        <w:spacing w:line="360" w:lineRule="auto"/>
        <w:ind w:firstLine="420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材料二  洋务运动时期，奕䜣等人认为西方科学技术“无一不自天文算学中来”，清廷遂于京师同文馆增设天文算学馆。清末兴办新式学堂，在各级学堂开设数学课程。20世纪二三十年代，我国中小学数学教学水平已“与欧美日本并驾齐驱”，大学纷纷成立数学系。抗战时期的西南联合大学拥有一批年轻的著名数学教授，如华罗庚、陈省身等。1940年中国共产党在延安设立自然科学院，开设微积分、微分方程等数学课程，培养专门人才。新中国成立后，科学技术的作用愈益突出，中国科学院设立数理化学部，推动了科学事业的发展。</w:t>
      </w:r>
    </w:p>
    <w:p w14:paraId="1C45BAF1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——摘编自白寿彝总主编《中国通史》等</w:t>
      </w:r>
    </w:p>
    <w:p w14:paraId="5AAFAAD7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（1）</w:t>
      </w:r>
      <w:r>
        <w:rPr>
          <w:rFonts w:ascii="宋体" w:hAnsi="宋体" w:eastAsia="宋体" w:cs="宋体"/>
          <w:color w:val="000000"/>
          <w:szCs w:val="24"/>
        </w:rPr>
        <w:t>根据材料并结合所学知识，概括中国古代数学发展的特点。</w:t>
      </w:r>
    </w:p>
    <w:p w14:paraId="215013FE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（2）</w:t>
      </w:r>
      <w:r>
        <w:rPr>
          <w:rFonts w:ascii="宋体" w:hAnsi="宋体" w:eastAsia="宋体" w:cs="宋体"/>
          <w:color w:val="000000"/>
          <w:szCs w:val="24"/>
        </w:rPr>
        <w:t>根据材料二并结合所学知识，简析中国近代以来数学受到重视的历史背景。</w:t>
      </w:r>
    </w:p>
    <w:p w14:paraId="0DEC974C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（3）</w:t>
      </w:r>
      <w:r>
        <w:rPr>
          <w:rFonts w:ascii="宋体" w:hAnsi="宋体" w:eastAsia="宋体" w:cs="宋体"/>
          <w:color w:val="000000"/>
          <w:szCs w:val="24"/>
        </w:rPr>
        <w:t>根据材料并结合所学知识，阐述中国数学发展的历史启示。</w:t>
      </w:r>
    </w:p>
    <w:p w14:paraId="76C26C4A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14. </w:t>
      </w:r>
      <w:r>
        <w:rPr>
          <w:rFonts w:ascii="宋体" w:hAnsi="宋体" w:eastAsia="宋体" w:cs="宋体"/>
          <w:color w:val="000000"/>
          <w:szCs w:val="24"/>
        </w:rPr>
        <w:t>阅读材料，完成下列要求。</w:t>
      </w:r>
    </w:p>
    <w:p w14:paraId="142A61A8">
      <w:pPr>
        <w:spacing w:line="360" w:lineRule="auto"/>
        <w:ind w:firstLine="420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</w:t>
      </w:r>
    </w:p>
    <w:p w14:paraId="224F7695">
      <w:pPr>
        <w:spacing w:line="360" w:lineRule="auto"/>
        <w:jc w:val="center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drawing>
          <wp:inline distT="0" distB="0" distL="114300" distR="114300">
            <wp:extent cx="3323590" cy="2552065"/>
            <wp:effectExtent l="0" t="0" r="10160" b="63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3590" cy="255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F5242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——摘编自（美）帕特里克•曼宁《世界历史上的移民》等</w:t>
      </w:r>
    </w:p>
    <w:p w14:paraId="21A7303D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结合所学世界近现代史知识，从图中概括出一种变化趋势，并予以简要阐释。（要求：概括的趋势合理，观点正确，史论结合，史实准确，逻辑清晰。）</w:t>
      </w:r>
    </w:p>
    <w:p w14:paraId="2C3F0AC3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15. </w:t>
      </w:r>
      <w:r>
        <w:rPr>
          <w:rFonts w:ascii="宋体" w:hAnsi="宋体" w:eastAsia="宋体" w:cs="宋体"/>
          <w:color w:val="000000"/>
          <w:szCs w:val="24"/>
        </w:rPr>
        <w:t>[历史——选修</w:t>
      </w:r>
      <w:r>
        <w:rPr>
          <w:rFonts w:ascii="Times New Roman" w:hAnsi="Times New Roman" w:eastAsia="Times New Roman" w:cs="Times New Roman"/>
          <w:color w:val="000000"/>
          <w:szCs w:val="24"/>
        </w:rPr>
        <w:t>1</w:t>
      </w:r>
      <w:r>
        <w:rPr>
          <w:rFonts w:ascii="宋体" w:hAnsi="宋体" w:eastAsia="宋体" w:cs="宋体"/>
          <w:color w:val="000000"/>
          <w:szCs w:val="24"/>
        </w:rPr>
        <w:t>：历史上重大改革回眸]</w:t>
      </w:r>
    </w:p>
    <w:p w14:paraId="76091CC2">
      <w:pPr>
        <w:spacing w:line="360" w:lineRule="auto"/>
        <w:ind w:firstLine="420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  北魏献文帝、孝文帝皆年幼继位，冯太后长期主持朝政。她主张“准古典”，即遵从周汉魏晋传统制度文化，鉴于西晋末年以来北方历经动乱、</w:t>
      </w:r>
      <w:bookmarkStart w:id="0" w:name="_GoBack"/>
      <w:bookmarkEnd w:id="0"/>
      <w:r>
        <w:rPr>
          <w:rFonts w:ascii="楷体" w:hAnsi="楷体" w:eastAsia="楷体" w:cs="楷体"/>
          <w:color w:val="000000"/>
          <w:szCs w:val="24"/>
        </w:rPr>
        <w:t>学校不兴，她下令在各郡置博士、助教官，建立官办学校，又因“皇子皇孙，训教不立”，下令在都城平城(今山西大同)创立“皇宗学”，专门教育皇室子弟。孝文帝在皇宗学学习期间，“未尝不《书典》在怀，《礼经》为事”。鲜卑人喜欢歌舞，冯太后亲自参与编写浅显易懂的《劝戒歌》300余首，并谱成曲调演唱，以鲜卑人喜闻乐见的形式宣讲中原文化，这些措施为进一步改革做了准备。冯太后去世后，孝文帝将她的谥号定为“文明”。</w:t>
      </w:r>
    </w:p>
    <w:p w14:paraId="3005451C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——据《魏书》等</w:t>
      </w:r>
    </w:p>
    <w:p w14:paraId="0A26297A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（1）</w:t>
      </w:r>
      <w:r>
        <w:rPr>
          <w:rFonts w:ascii="宋体" w:hAnsi="宋体" w:eastAsia="宋体" w:cs="宋体"/>
          <w:color w:val="000000"/>
          <w:szCs w:val="24"/>
        </w:rPr>
        <w:t>根据材料，概括冯太后教育改革的主要内容。</w:t>
      </w:r>
    </w:p>
    <w:p w14:paraId="02F7BCCD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（2）</w:t>
      </w:r>
      <w:r>
        <w:rPr>
          <w:rFonts w:ascii="宋体" w:hAnsi="宋体" w:eastAsia="宋体" w:cs="宋体"/>
          <w:color w:val="000000"/>
          <w:szCs w:val="24"/>
        </w:rPr>
        <w:t>根据材料并结合所学知识，简析冯太后教育改革的意义。</w:t>
      </w:r>
    </w:p>
    <w:p w14:paraId="1178EDF5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16. </w:t>
      </w:r>
      <w:r>
        <w:rPr>
          <w:rFonts w:ascii="宋体" w:hAnsi="宋体" w:eastAsia="宋体" w:cs="宋体"/>
          <w:color w:val="000000"/>
          <w:szCs w:val="24"/>
        </w:rPr>
        <w:t>[历史——选修</w:t>
      </w:r>
      <w:r>
        <w:rPr>
          <w:rFonts w:ascii="Times New Roman" w:hAnsi="Times New Roman" w:eastAsia="Times New Roman" w:cs="Times New Roman"/>
          <w:color w:val="000000"/>
          <w:szCs w:val="24"/>
        </w:rPr>
        <w:t>3</w:t>
      </w:r>
      <w:r>
        <w:rPr>
          <w:rFonts w:ascii="宋体" w:hAnsi="宋体" w:eastAsia="宋体" w:cs="宋体"/>
          <w:color w:val="000000"/>
          <w:szCs w:val="24"/>
        </w:rPr>
        <w:t>：</w:t>
      </w:r>
      <w:r>
        <w:rPr>
          <w:rFonts w:ascii="Times New Roman" w:hAnsi="Times New Roman" w:eastAsia="Times New Roman" w:cs="Times New Roman"/>
          <w:color w:val="000000"/>
          <w:szCs w:val="24"/>
        </w:rPr>
        <w:t>20</w:t>
      </w:r>
      <w:r>
        <w:rPr>
          <w:rFonts w:ascii="宋体" w:hAnsi="宋体" w:eastAsia="宋体" w:cs="宋体"/>
          <w:color w:val="000000"/>
          <w:szCs w:val="24"/>
        </w:rPr>
        <w:t>世纪的战争与和平]</w:t>
      </w:r>
    </w:p>
    <w:p w14:paraId="6B9256CF">
      <w:pPr>
        <w:spacing w:line="360" w:lineRule="auto"/>
        <w:ind w:firstLine="420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  1911年3月，摩洛哥非斯地区爆发了反对法国殖民统治的起义，法国派兵镇压。德国出面干涉，7月1日派军舰到摩洛哥阿加迪尔港，引发阿加迪尔危机。由于担心德国获得摩洛哥沿岸港口并建立海军基地，英国于21日发出警告，强调英国是处理国际事务不可或缺的角色。英国海军进入战备状态，总参谋长访问法国并视察德法边界。在英国强硬态度面前，德国同意与法国妥协，摩洛哥由法国“保护”，法国向德国转让法属刚果部分地区。11月底，德国军舰驶离阿加迪尔港，危机结束。德国对此十分失望，决心在下一次“考验”时不再退缩。同时，英法同盟的实质合作进一步加强。</w:t>
      </w:r>
    </w:p>
    <w:p w14:paraId="0F78C339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——摘编自徐弃郁《脆弱的崛起：大战略与德意志帝国的命运》等</w:t>
      </w:r>
    </w:p>
    <w:p w14:paraId="50273998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（1）</w:t>
      </w:r>
      <w:r>
        <w:rPr>
          <w:rFonts w:ascii="宋体" w:hAnsi="宋体" w:eastAsia="宋体" w:cs="宋体"/>
          <w:color w:val="000000"/>
          <w:szCs w:val="24"/>
        </w:rPr>
        <w:t>根据材料并结合所学知识，说明英国在阿加迪尔危机中的立场及其原因。</w:t>
      </w:r>
    </w:p>
    <w:p w14:paraId="2D3AE31C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（2）</w:t>
      </w:r>
      <w:r>
        <w:rPr>
          <w:rFonts w:ascii="宋体" w:hAnsi="宋体" w:eastAsia="宋体" w:cs="宋体"/>
          <w:color w:val="000000"/>
          <w:szCs w:val="24"/>
        </w:rPr>
        <w:t>根据材料并结合所学知识，简析阿加迪尔危机对德国的影响。</w:t>
      </w:r>
    </w:p>
    <w:p w14:paraId="399D8E52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17</w:t>
      </w:r>
      <w:r>
        <w:rPr>
          <w:rFonts w:ascii="Times New Roman" w:hAnsi="Times New Roman" w:eastAsia="宋体" w:cs="宋体"/>
          <w:color w:val="000000"/>
          <w:position w:val="-22"/>
          <w:szCs w:val="24"/>
        </w:rPr>
        <w:drawing>
          <wp:inline distT="0" distB="0" distL="114300" distR="114300">
            <wp:extent cx="31750" cy="889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宋体"/>
          <w:color w:val="000000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Cs w:val="24"/>
        </w:rPr>
        <w:t>[</w:t>
      </w:r>
      <w:r>
        <w:rPr>
          <w:rFonts w:ascii="宋体" w:hAnsi="宋体" w:eastAsia="宋体" w:cs="宋体"/>
          <w:color w:val="000000"/>
          <w:szCs w:val="24"/>
        </w:rPr>
        <w:t>历史</w:t>
      </w:r>
      <w:r>
        <w:rPr>
          <w:rFonts w:ascii="Times New Roman" w:hAnsi="Times New Roman" w:eastAsia="Times New Roman" w:cs="Times New Roman"/>
          <w:color w:val="000000"/>
          <w:szCs w:val="24"/>
        </w:rPr>
        <w:t>——</w:t>
      </w:r>
      <w:r>
        <w:rPr>
          <w:rFonts w:ascii="宋体" w:hAnsi="宋体" w:eastAsia="宋体" w:cs="宋体"/>
          <w:color w:val="000000"/>
          <w:szCs w:val="24"/>
        </w:rPr>
        <w:t>选修</w:t>
      </w:r>
      <w:r>
        <w:rPr>
          <w:rFonts w:ascii="Times New Roman" w:hAnsi="Times New Roman" w:eastAsia="Times New Roman" w:cs="Times New Roman"/>
          <w:color w:val="000000"/>
          <w:szCs w:val="24"/>
        </w:rPr>
        <w:t>4</w:t>
      </w:r>
      <w:r>
        <w:rPr>
          <w:rFonts w:ascii="宋体" w:hAnsi="宋体" w:eastAsia="宋体" w:cs="宋体"/>
          <w:color w:val="000000"/>
          <w:szCs w:val="24"/>
        </w:rPr>
        <w:t>：中外历史人物评说</w:t>
      </w:r>
      <w:r>
        <w:rPr>
          <w:rFonts w:ascii="Times New Roman" w:hAnsi="Times New Roman" w:eastAsia="Times New Roman" w:cs="Times New Roman"/>
          <w:color w:val="000000"/>
          <w:szCs w:val="24"/>
        </w:rPr>
        <w:t>]</w:t>
      </w:r>
    </w:p>
    <w:p w14:paraId="09EE5C38">
      <w:pPr>
        <w:spacing w:line="360" w:lineRule="auto"/>
        <w:ind w:firstLine="420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  清帝退位后，黄兴认为政治目标已实现，“将来政治竞争，但能以政见相折冲，不愿以武力相角逐”，中华民国初年的国会选举期间，孙中山专心从事实业建设，对国民党党务“一切不问，纯然放任”；黄兴则积极为国民党争取选票，并认为“今者共和成立，欲苏民困，厚国力，舍实业末由”。1913年宋教仁遇刺后，黄兴主张“法律讨袁”，反对起兵，孙中山“格于众议，只好从缓发动”，后袁世凯欲武力镇压革命党，黄兴与孙中山领导发动“二次革命”，失败后逃亡日本。在日本，孙中山将国民党改组为中华革命党，继续发动武力革命，黄兴主张积蓄力量，循序渐进地反对袁世凯。</w:t>
      </w:r>
    </w:p>
    <w:p w14:paraId="1B0F659D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——摘编自李新总编《中华民国史人物传》等</w:t>
      </w:r>
    </w:p>
    <w:p w14:paraId="38BBEFF7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（1）</w:t>
      </w:r>
      <w:r>
        <w:rPr>
          <w:rFonts w:ascii="宋体" w:hAnsi="宋体" w:eastAsia="宋体" w:cs="宋体"/>
          <w:color w:val="000000"/>
          <w:szCs w:val="24"/>
        </w:rPr>
        <w:t>根据材料并结合所学知识，概括中华民国建立后黄兴和孙中山政治主张的相同之处。</w:t>
      </w:r>
    </w:p>
    <w:p w14:paraId="7918A179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（2）</w:t>
      </w:r>
      <w:r>
        <w:rPr>
          <w:rFonts w:ascii="宋体" w:hAnsi="宋体" w:eastAsia="宋体" w:cs="宋体"/>
          <w:color w:val="000000"/>
          <w:szCs w:val="24"/>
        </w:rPr>
        <w:t>根据材料并结合所学知识，简析中华民国建立后黄兴和孙中山的政治分歧及其后果。</w:t>
      </w:r>
    </w:p>
    <w:p w14:paraId="033AE390">
      <w:pPr>
        <w:spacing w:line="360" w:lineRule="auto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C3D04"/>
    <w:rsid w:val="012D3BCA"/>
    <w:rsid w:val="02AB5C4A"/>
    <w:rsid w:val="07E45CD3"/>
    <w:rsid w:val="1649696C"/>
    <w:rsid w:val="1AA202E3"/>
    <w:rsid w:val="235419E0"/>
    <w:rsid w:val="2FBE71DB"/>
    <w:rsid w:val="37A95295"/>
    <w:rsid w:val="38536650"/>
    <w:rsid w:val="4CB619E6"/>
    <w:rsid w:val="503E6F6B"/>
    <w:rsid w:val="590E2436"/>
    <w:rsid w:val="61CF445A"/>
    <w:rsid w:val="63C53FB1"/>
    <w:rsid w:val="691F2E54"/>
    <w:rsid w:val="6D8C560F"/>
    <w:rsid w:val="73EB3D3E"/>
    <w:rsid w:val="7D5C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Ascii" w:hAnsiTheme="minorAsci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tLeast"/>
      <w:jc w:val="center"/>
      <w:outlineLvl w:val="0"/>
    </w:pPr>
    <w:rPr>
      <w:rFonts w:ascii="NEU-BZ-S92" w:hAnsi="NEU-BZ-S92" w:eastAsia="宋体"/>
      <w:b/>
      <w:bCs/>
      <w:color w:val="000000"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afterLines="0" w:line="360" w:lineRule="auto"/>
      <w:ind w:firstLine="883" w:firstLineChars="200"/>
      <w:jc w:val="center"/>
      <w:outlineLvl w:val="1"/>
    </w:pPr>
    <w:rPr>
      <w:rFonts w:ascii="宋体" w:hAnsi="宋体" w:eastAsia="宋体"/>
      <w:b/>
      <w:color w:val="000000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NEU-BZ-S92" w:hAnsi="NEU-BZ-S92" w:eastAsia="宋体"/>
      <w:b/>
      <w:color w:val="000000"/>
      <w:sz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学案标题样式"/>
    <w:basedOn w:val="1"/>
    <w:qFormat/>
    <w:uiPriority w:val="0"/>
    <w:pPr>
      <w:spacing w:line="360" w:lineRule="auto"/>
      <w:ind w:firstLine="420" w:firstLineChars="200"/>
      <w:jc w:val="center"/>
    </w:pPr>
    <w:rPr>
      <w:rFonts w:hint="eastAsia" w:ascii="黑体" w:hAnsi="黑体" w:eastAsia="黑体" w:cs="黑体"/>
      <w:b/>
      <w:sz w:val="32"/>
      <w:szCs w:val="21"/>
    </w:rPr>
  </w:style>
  <w:style w:type="character" w:customStyle="1" w:styleId="8">
    <w:name w:val="标题 1 Char"/>
    <w:basedOn w:val="6"/>
    <w:link w:val="2"/>
    <w:qFormat/>
    <w:uiPriority w:val="9"/>
    <w:rPr>
      <w:rFonts w:ascii="NEU-BZ-S92" w:hAnsi="NEU-BZ-S92" w:eastAsia="微软雅黑"/>
      <w:b/>
      <w:bCs/>
      <w:color w:val="000000"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2025-03-04T01:56:00Z</dcterms:created>
  <dc:creator>09ub79gws5032</dc:creator>
  <cp:lastModifiedBy>09ub79gws5032</cp:lastModifiedBy>
  <dcterms:modified xsi:type="dcterms:W3CDTF">2025-03-04T01:57:39Z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AFE86715DBED4A6092E657C3BE4B0758_11</vt:lpwstr>
  </property>
  <property fmtid="{D5CDD505-2E9C-101B-9397-08002B2CF9AE}" pid="4" name="KSOTemplateDocerSaveRecord">
    <vt:lpwstr>eyJoZGlkIjoiNzc1ZjZhMzE5NjYxNzVkNzEzNjRiMGQ1NWEwYzM3NzAiLCJ1c2VySWQiOiI4MzkwOTI2MzQifQ==</vt:lpwstr>
  </property>
</Properties>
</file>