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AA9C8">
      <w:pPr>
        <w:autoSpaceDE w:val="0"/>
        <w:autoSpaceDN w:val="0"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40"/>
          <w:szCs w:val="36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/>
          <w:bCs/>
          <w:sz w:val="40"/>
          <w:szCs w:val="36"/>
          <w:lang w:val="en-US" w:eastAsia="zh-CN"/>
          <w14:ligatures w14:val="standardContextual"/>
        </w:rPr>
        <w:t>参考答案及解析</w:t>
      </w:r>
    </w:p>
    <w:p w14:paraId="52B404AC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1.【答案】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>B</w:t>
      </w:r>
    </w:p>
    <w:p w14:paraId="06F85892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>材料中学者根据毛家坪遗址发现的“大量炭化 的苜蓿属植物种子和马的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>骨骼”以及《史记》中“秦人先祖‘好马 及畜，善养息之’的记载”得出“苜蓿属植物与秦人养马有关”的 结论，据此可知，该学者将考古发掘与文献史料相结合，在探究 历史时重视史料间的联系，B项正确；原始农耕和畜牧业出现 在新石器时代，A项排除；西周到战国时期的秦人已经处于阶 级社会阶段，C项排除；材料表明实物史料与文献史料相互印证，并非强调实物史料更具价值，D 项排除。</w:t>
      </w:r>
    </w:p>
    <w:p w14:paraId="1BCE3BB1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2.【答案】C</w:t>
      </w:r>
    </w:p>
    <w:p w14:paraId="35628C77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【解析】根据材料并结合所学知识可知， 在传统儒学遭遇挑战的魏晋南北朝时期，经学世家的形成有利  于儒家思想的传承和发展，为儒学的复兴奠定基础，C 项正确； 材料并不能表明经学世家是南迁的北方士族，A 项排除；经学  世家的形成只能表明儒学仍受到世家大族的尊崇，并不是造成  南北方政权更替的原因，B项排除；材料反映的是儒学受到佛教和道教的挑战，“三教合归儒”到隋朝才提出，D 项排除。</w:t>
      </w:r>
    </w:p>
    <w:p w14:paraId="40AB4936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3.【答案】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>B</w:t>
      </w:r>
    </w:p>
    <w:p w14:paraId="72BB34D0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【解析】材料“招募饥民兴修水利”“减价 出粜”“以备军需”体现出北宋政府采取经济手段赈济饥民、平 抑粮价、支援军队，从而稳定社会秩序，B 项正确；平抑物价只 是材料中“熙宁七年五月”政府采取的措施，排除 A 项；组织救 济灾民只是材料中“熙宁六年十一月”政府采取的措施，排除C 项；“增加军费缓解边防压力”只是材料中“熙宁九年二月”政府采取的措施，排除D 项。</w:t>
      </w:r>
    </w:p>
    <w:p w14:paraId="38AF9DB9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4.【答案】D</w:t>
      </w:r>
    </w:p>
    <w:p w14:paraId="15574FC7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【解析】材料表明，明嘉靖、隆庆年间，  广东博罗县基层部分地名与“约”字有关，知县会令“乡约之长” 宣讲“高皇帝之六训”,体现出政府对基层教化的重视，从而加  强基层社会治理，D 项正确；材料未涉及法律，排除A 项；保甲制度注重对农民的军事训练，排除B项；材料未涉及保甲相关的信息，排除C 项。</w:t>
      </w:r>
    </w:p>
    <w:p w14:paraId="4CA40406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5.【答案】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>B</w:t>
      </w:r>
    </w:p>
    <w:p w14:paraId="4A5244CC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【解析】从图中可知，从唐朝到清代扬州城都靠  近大运河，这说明运河漕运影响城市发展，B项正确；材料表明 唐宋扬州城的面积大于元明清时期扬州城的面积，A 项排除；材料体现不出城市功能分区日趋明显和内河河道交错密布全城，C,D 两项排除。</w:t>
      </w:r>
    </w:p>
    <w:p w14:paraId="6211D4D9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6.【答案】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>B</w:t>
      </w:r>
    </w:p>
    <w:p w14:paraId="22E55FDE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【解析】结合所学知识可知，鸦片战争之后， 中国开放五口通商，洋布涌入中国沿海城市。材料中，19世纪  50年代到60年代，上海洋布店经营规模越来越大，体现出外来 经济因素在中国的渗透，B 项正确；材料未体现政府鼓励兴办实业，排除A项；材料“内地商人纷纷到上海采购”说明外来经 济因素的影响波及了内地，不是强调内地棉纺织业发达，排除 C项；民族资本主义经济诞生于19世纪六七十年代，且此时并 不处于快速发展时期，排除D 项。</w:t>
      </w:r>
    </w:p>
    <w:p w14:paraId="008D23E1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7.【答案】A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 xml:space="preserve">  </w:t>
      </w:r>
    </w:p>
    <w:p w14:paraId="628E12AC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【解析】根据材料“1924年”“反军阀政府的联合，反帝 国主义的国际联合”并结合所学知识可知，中共在刊物宣言中强调 对内反对军阀统治、对外反对帝国主义侵略，这一举措策应了国内 国民革命形势(打倒列强，除军阀)的发展，A 项正确；材料主旨 不是马克思主义传播途径，排除B 项；1924年1月国民党一大 的召开标志着革命统一战线建立，排除C 项；中共探索独立开展武装革命道路是在大革命失败后，排除D 项。</w:t>
      </w:r>
    </w:p>
    <w:p w14:paraId="5F8DED8A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8.【答案】C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 xml:space="preserve">  </w:t>
      </w:r>
    </w:p>
    <w:p w14:paraId="7062EB27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【解析】根据材料“1948年”“暂时除没收国民党书店以 外……暂时不必普遍立条例”可知，在解放战争后期，毛泽东针 对图书发行并未持严格管控态度，对非中共图书限制较宽松， 这一举措利于团结广大知识分子，巩固和扩大政权基础，C 项  正确；材料反映的是图书出版发行的政策，不是保护文化设施， 排除A 项；毛泽东意在团结知识分子，不是揭露国民党文化专制，排除B 项；D 项中“战略反攻”发生于1947年，排除。</w:t>
      </w:r>
    </w:p>
    <w:p w14:paraId="12F7A25E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9.【答案】A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 xml:space="preserve"> </w:t>
      </w:r>
    </w:p>
    <w:p w14:paraId="1FD16984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【解析】结合所学知识可知，漫画主旨为提倡“增产节约”,积累工业化建设的资金，严惩贪污分子，主要目的 是号召人民巩固新生的政权，A 项正确；1951年属于国民经济恢 复阶段，1956年底，社会主义经济制度在我国初步建立起来，排 除B 项；“银元之战”“米棉之战”意在打击投机商人囤积居奇，排 除C 项；材料主旨并非倡导勤俭节约的社会新风尚，排除D 项。</w:t>
      </w:r>
    </w:p>
    <w:p w14:paraId="1B8EC6E6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10.【答案】D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 xml:space="preserve">  </w:t>
      </w:r>
    </w:p>
    <w:p w14:paraId="2C4D889F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【解析】材料中介绍了肖楠森教授为了找到地下水， 一生不畏艰难的奋斗精神，体现出科学家至诚报国的情怀，D项正确；“人民脱贫致富的愿望”与材料主旨不符，排 除A 项；三线建设以重工业和国防建设为主，材料反映的是地下水问题，与三线建设无关，排除B 项；勘查地下水不属于生态环境问题，排除C 项。</w:t>
      </w:r>
    </w:p>
    <w:p w14:paraId="2498A23A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11.【答案】C</w:t>
      </w:r>
    </w:p>
    <w:p w14:paraId="677CCF85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【解析】材料反映了日本在1774年至1852年大  量翻译西方书籍、出现从事西洋书籍翻译的新派学者，且西学的输入及研究以民间为主，据此可知，当时日本国内民众对西学表现出浓厚兴趣，说明日本社会观念出现新变化，有利于推动日本社会近代化，C项正确；材料未涉及日本政府的政策变化，无从反映日本政府是否“摒弃”闭关锁国政策，排除A 项；B 项中“全面吸纳”的说法绝对化，且材料不能体现，排除；“文明开化” 是明治维新期间推行的政策，此时明治维新尚未开始，排除D 项。</w:t>
      </w:r>
    </w:p>
    <w:p w14:paraId="3C358E70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12.【答案】D</w:t>
      </w:r>
    </w:p>
    <w:p w14:paraId="66364380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【解析】根据材料“但少数几个强国的代表却经常缺 席这些活动”可知，在维也纳会议期间，奥地利首相让大部分 参会代表沉溺于娱乐，使会议主导权掌握在少数强国手中，即 国际协调机制由大国主宰，D 项正确；材料主旨不是奥地利尊 崇近代外交礼仪，排除A 项；根据所学知识可知，全体一致原 则是一战后国联形成决议的原则，排除B 项；材料主旨不是梅 特涅重视西方文化传统，排除C 项。</w:t>
      </w:r>
    </w:p>
    <w:p w14:paraId="09DDBC1E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13.【答案】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>B</w:t>
      </w:r>
    </w:p>
    <w:p w14:paraId="409C4E20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【解析】材料中埃塞俄比亚政府鼓励作家使 用阿姆哈拉语写作，是用民族语言反对文化殖民，B 项正确； 埃塞俄比亚是东非国家，且材料主旨是反殖民文化，不是文化  传承，排除A项；材料主旨是埃塞俄比亚本国的反殖民文化斗  争，并不能促进整个非洲大陆的统一和直接推动世界多极化  发展，排除C,D 两项。</w:t>
      </w:r>
    </w:p>
    <w:p w14:paraId="00259D7E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14.【答案】C</w:t>
      </w:r>
      <w: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  <w:t xml:space="preserve">  </w:t>
      </w:r>
    </w:p>
    <w:p w14:paraId="30C69A18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【解析】根据材料并结合所学知识可知，20世 纪30年代苏联处于工业化建设时期，注重体育教育意在提升 国民身体素质，为工业建设提供劳动力，从而增强国家的综合 国力，C项正确，A项排除；发展体育与冲破帝国主义经济封 锁无关，B 项排除；苏联反法西斯战争开始于1941年，晚于材 料时间，D 项排除。</w:t>
      </w:r>
    </w:p>
    <w:p w14:paraId="17ED948E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15.【答案】D</w:t>
      </w:r>
    </w:p>
    <w:p w14:paraId="367CAF4F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【解析】材料表明，寒山子的  诗体现了逃避现实的思想，其在20世纪60年代受到美国大学  生欢迎，反映出美国民众对当时社会现实的失望，D项正确；美  国青年喜爱中国诗歌不等同于其认同中国生活方式，A 项排  除；美国经济出现“滞胀”现象是在20世纪70年代，B 项排除；材料未涉及美国政府对华外交政策的变化，C项排除。</w:t>
      </w:r>
    </w:p>
    <w:p w14:paraId="4A79C097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16.【参考答案】(1)创新之处：改进枪械设备(具体的例子，发明直动式单发步 枪、使用弹仓、弹筒);(1分)使用无烟火药子弹。(1分)</w:t>
      </w:r>
    </w:p>
    <w:p w14:paraId="746D1DF6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背景：第二次工业革命(德国工业领先);(2分)德国重视发明 创造或者科学技术与生产的紧密结合；(1分)德国侵略扩张的需要(对外侵略的需要，扩军备战的需要)。(2分)</w:t>
      </w:r>
    </w:p>
    <w:p w14:paraId="503C0986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(2)处于战争环境；(1分)资源匮乏，设备短缺；(2分)人才稀少，技术落后。(1分)</w:t>
      </w:r>
    </w:p>
    <w:p w14:paraId="233EB18B">
      <w:pPr>
        <w:kinsoku w:val="0"/>
        <w:autoSpaceDE w:val="0"/>
        <w:autoSpaceDN w:val="0"/>
        <w:adjustRightInd w:val="0"/>
        <w:snapToGrid w:val="0"/>
        <w:spacing w:before="140" w:line="360" w:lineRule="auto"/>
        <w:ind w:left="190" w:right="163" w:hanging="190"/>
        <w:jc w:val="left"/>
        <w:textAlignment w:val="baseline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en-US" w:bidi="ar-SA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  <w14:ligatures w14:val="standardContextual"/>
        </w:rPr>
        <w:t>(3)提高了战斗力，改善了武器装备；(1分)打击了日寇，为抗 日战争的胜利奠定基础；(2分)形成了自力更生，艰苦奋斗的革命精神；(1分)培养了一批军工人才。(1分)</w:t>
      </w:r>
    </w:p>
    <w:p w14:paraId="44A2C376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 xml:space="preserve">【解析】 (1)第一小问，结合材料一中的“直动式单发步枪”“研制出发射无烟火药子弹的弹仓式步枪，并在枪管外加装套筒”等信息，概括为：改进枪械设备；使用无烟火药子弹。第二小问，可结合材料一中的“1869年”“1888年” “1898年”“德国政府开始与毛瑟兄弟合作”“德国生产的毛瑟枪除满足国内扩军备战的需要外”等信息，从第二次工业革命；德国政府重视发明创造；德国侵略扩张的需要等方面进行概括。(2)作答时，可结合材料二中的“抗日战争相持阶段，抗日根据地遭到封锁，武器供应严重不足”“没有条件创造条件也要造武器，必须建立自己的兵工厂”“没有造枪的钢材”“设计出无名氏马步枪”等信息以及所学知识，从处于战争环境；  资源匮乏，设备短缺；人才稀少，技术落后等方面进行概括。  </w:t>
      </w:r>
    </w:p>
    <w:p w14:paraId="51879182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(3)可结合材料二中的“该型枪支重量轻、体积小、精准度高，且方便近身拼刺刀，成为抗日根据地生产的数量最多、使用最广、性能最好的制式步枪”以及所学知识，从提高战斗力，  改善武器装备；打击日寇，为抗日战争的胜利奠定基础；形成自力更生，艰苦奋斗的革命精神；培养军工人才等方面分析概括。</w:t>
      </w:r>
    </w:p>
    <w:p w14:paraId="10D0FB30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17.【参考答案】(1)唐朝实行开明(开放)(开放包容)的民族政策；(2分)南诏 仿效唐朝制度，或学习唐朝(中原)制度；(1分)南诏重视发展交通；(1分)南诏经济文化发展。(2分)</w:t>
      </w:r>
    </w:p>
    <w:p w14:paraId="793E95F3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(2)推动西南边疆(西南地区，云南地区)的开发(经济文化的  发展);(1分)少数民族、南诏接受(学习)中原文化(唐文化、 汉文化),或者认同中原文化；(2分)促进民族交融或交流或  交往；(2分)促进中外经济文化交流(或中外交流);或者促进  西南丝绸之路繁荣(或丝绸之路繁荣);或者促进对外贸易，对外经济文化交流。(2分)</w:t>
      </w:r>
    </w:p>
    <w:p w14:paraId="746E0774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【解析】南诏古道修建(1)根据材料“唐玄宗册封南诏首领皮 逻阁为云南王”并结合所学知识回答出，唐朝时期实行开明的 民族政策；根据材料“推崇儒家文化……参照唐朝的制度文化 推行改革”可得出南诏仿效唐朝制度，学习唐朝制度；根据材料“仿效唐制，大力发展交通”可得出南诏重视发展交通；结合 所学知识回答出，南诏经济文化发展。</w:t>
      </w:r>
    </w:p>
    <w:p w14:paraId="07CC3A20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(2)根据材料“南诏仿 效唐制，大力发展交通，建成了通达四方的道路网”可得出南 诏学习中原，可强化其对中原文化认同；根据材料“中原的丝 绸、布匹、铁器等货物源源不断地运往西南”可得出推动西南 边疆地区经济开发和发展；根据材料“海外的琉璃、宝石、翡翠 等异域方物也输入国内”可回答出促进中外之间经济文化交 流；结合所学知识回答出，促进民族交融和发展、促进西南丝绸之路繁荣等。</w:t>
      </w:r>
    </w:p>
    <w:p w14:paraId="106CC3E2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18.【参考答案】(1)公正/公允；(1分)清廉/廉洁；(1分)办事/处理政务/行政能力(效率)高；(1分)身体健康/心地仁厚；(1分)吃苦耐劳/勤劳勤勉；(1分)体恤民生/体察民情/以民为本/民本。(1分)</w:t>
      </w:r>
    </w:p>
    <w:p w14:paraId="2D10029B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(2)有利于民生；(1分)有利于提高官员积极性(奖励和惩罚官员);(2分)有利于改善吏治；(2分)有利于提高社会治理能力。(2分)</w:t>
      </w:r>
    </w:p>
    <w:p w14:paraId="73643934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【解析】清代地方官员考核 (1)根据材料“能耐劳苦，处处 以体恤民情为务”可得出注重官员的吃苦耐劳，体恤民生、 以民为本；根据材料“力求公允”可得出注重公正、公允；根  据材料因“贪酷众著,民怨沸腾”被建议革职可得出，注重 清廉、廉洁；根据材料“久有公事废弛之名”“性耽安逸”可得出注重处理政务能力；根据材料“惟居心厚道”可得出注  重官员心地仁厚；根据材料“近尤精力衰颓”可得出注重身  体健康。</w:t>
      </w:r>
    </w:p>
    <w:p w14:paraId="45232CAA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(2)图表反映了吃苦耐劳、体恤民情和勤于政务  的官员得到奖励，贪污、懒于政务的官员受到严苛处理的 情况。结合材料和所学知识，围绕有利于提高官员积极  性、改善吏治、提高社会治理能力、利于民生等内容来阐述，要求表述清楚，语言准确。</w:t>
      </w:r>
    </w:p>
    <w:p w14:paraId="6D2E4F2E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19.【参考答案】具体文明名称。(2分)</w:t>
      </w:r>
    </w:p>
    <w:p w14:paraId="7D29A6B8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从政治角度论述。(2分)</w:t>
      </w:r>
    </w:p>
    <w:p w14:paraId="779E23F4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从经济角度论述。(2分)</w:t>
      </w:r>
    </w:p>
    <w:p w14:paraId="171405BD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从思想文化角度论述。(2分)</w:t>
      </w:r>
    </w:p>
    <w:p w14:paraId="178E539E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论述中涉及具体史实。(3分)</w:t>
      </w:r>
    </w:p>
    <w:p w14:paraId="5EAAF19A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论述完整，三段式。(2分)</w:t>
      </w:r>
    </w:p>
    <w:p w14:paraId="336BFF9E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【示例】</w:t>
      </w:r>
    </w:p>
    <w:p w14:paraId="19C562E4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古希腊的发展反映了文化是其社会的整体存在方式。</w:t>
      </w:r>
    </w:p>
    <w:p w14:paraId="599EF9FB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从经济角度看，古希腊文明位于爱琴海群岛等岛屿上，多山少平原，耕地破碎，故农业种植受限，古希腊许多城邦以葡萄、橄榄等经济作物的种植为主，其物质创造活动以对外贸易最为发达，善于航海活动，属于典型的海洋文明。</w:t>
      </w:r>
    </w:p>
    <w:p w14:paraId="11224768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从政治角度看，古希腊山地较多，内部联系不便，故形成 城邦政治，城邦分散于各地，独立性较强，以雅典为首的城邦 外贸发达，社会的制度设计以民主政治为主，公民大会、公民 法庭、议事会保障了公民的民主权利；而以斯巴达为首的城邦 环境则较为封闭，形成了寡头政治，反映了经济基础对上层建筑的影响。</w:t>
      </w:r>
    </w:p>
    <w:p w14:paraId="761CE97A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从思想角度看，古希腊因其发达的海外贸易活动，形成了 开放的民族性格，主张公民为城邦服务，崇尚自由与公民权 利，如城邦中的广场、苏格拉底对人本身的研究等，其精神导向与价值取向都反映了古希腊文化的人文色彩。</w:t>
      </w:r>
    </w:p>
    <w:p w14:paraId="20531EA9">
      <w:pPr>
        <w:autoSpaceDE w:val="0"/>
        <w:autoSpaceDN w:val="0"/>
        <w:spacing w:line="360" w:lineRule="auto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总之，以古希腊为代表的人类文明，反映了文化是整个社 会的集中体现，这是一种在更高层次上理解的“文化”,某种程度上其代表了“文明”。</w:t>
      </w:r>
    </w:p>
    <w:p w14:paraId="76EEFC46">
      <w:pPr>
        <w:autoSpaceDE w:val="0"/>
        <w:autoSpaceDN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  <w:t>【解析】古代世界文明  本题属于历史小论文的撰写。首先依 据材料和所学知识列举一种世界文明，拟定论题。然后结合 所学知识对拟定论题的文明进行阐释。阐释围绕这一文明特 点可以从政治、经济、思想等角度进行，最后从这一文明与世 界文明发展的关系等角度进行总结。比如依据材料“第三种 理解是指社会的整体存在方式”和所学知识拟定论题：古希腊 的发展反映了文化是其社会的整体存在方式。阐述时政治角 度可以从古希腊地理位置对于雅典民主政治和斯巴达寡头政 治发展的影响方面思考；经济角度可以从发展工商业和对外 贸易方面思考；思想角度可以从古希腊文化形成方面思考。最后进行总结。</w:t>
      </w:r>
    </w:p>
    <w:p w14:paraId="6F54932B">
      <w:pPr>
        <w:autoSpaceDE w:val="0"/>
        <w:autoSpaceDN w:val="0"/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  <w14:ligatures w14:val="standardContextual"/>
        </w:rPr>
      </w:pPr>
    </w:p>
    <w:p w14:paraId="6633FE6F">
      <w:pPr>
        <w:spacing w:line="360" w:lineRule="auto"/>
      </w:pPr>
    </w:p>
    <w:p w14:paraId="17A47D3E">
      <w:pPr>
        <w:spacing w:line="360" w:lineRule="auto"/>
      </w:pPr>
    </w:p>
    <w:sectPr>
      <w:pgSz w:w="11906" w:h="16838"/>
      <w:pgMar w:top="1440" w:right="1080" w:bottom="1440" w:left="1080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E521E"/>
    <w:rsid w:val="012D3BCA"/>
    <w:rsid w:val="02AB5C4A"/>
    <w:rsid w:val="07E45CD3"/>
    <w:rsid w:val="1649696C"/>
    <w:rsid w:val="1AA202E3"/>
    <w:rsid w:val="235419E0"/>
    <w:rsid w:val="2FBE71DB"/>
    <w:rsid w:val="37A95295"/>
    <w:rsid w:val="38536650"/>
    <w:rsid w:val="3AFE521E"/>
    <w:rsid w:val="4CB619E6"/>
    <w:rsid w:val="503E6F6B"/>
    <w:rsid w:val="590E2436"/>
    <w:rsid w:val="61CF445A"/>
    <w:rsid w:val="63C53FB1"/>
    <w:rsid w:val="691F2E54"/>
    <w:rsid w:val="6D8C560F"/>
    <w:rsid w:val="73EB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tLeast"/>
      <w:jc w:val="center"/>
      <w:outlineLvl w:val="0"/>
    </w:pPr>
    <w:rPr>
      <w:rFonts w:ascii="NEU-BZ-S92" w:hAnsi="NEU-BZ-S92" w:eastAsia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NEU-BZ-S92" w:hAnsi="NEU-BZ-S92" w:eastAsia="宋体"/>
      <w:b/>
      <w:color w:val="000000"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eastAsia="黑体" w:asciiTheme="minorAscii" w:hAnsiTheme="minorAscii" w:cstheme="minorBidi"/>
      <w:kern w:val="2"/>
      <w:sz w:val="18"/>
      <w:szCs w:val="22"/>
      <w:lang w:val="en-US" w:eastAsia="zh-CN" w:bidi="ar-SA"/>
    </w:rPr>
  </w:style>
  <w:style w:type="paragraph" w:customStyle="1" w:styleId="8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  <w:style w:type="character" w:customStyle="1" w:styleId="9">
    <w:name w:val="标题 1 Char"/>
    <w:basedOn w:val="7"/>
    <w:link w:val="2"/>
    <w:qFormat/>
    <w:uiPriority w:val="9"/>
    <w:rPr>
      <w:rFonts w:ascii="NEU-BZ-S92" w:hAnsi="NEU-BZ-S92" w:eastAsia="微软雅黑"/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2025-03-04T01:42:00Z</dcterms:created>
  <dc:creator>09ub79gws5032</dc:creator>
  <cp:lastModifiedBy>09ub79gws5032</cp:lastModifiedBy>
  <dcterms:modified xsi:type="dcterms:W3CDTF">2025-03-04T01:43:27Z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68DF19BD93AE4A9191E284D1A6F5BBDD_11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