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24B9B">
      <w:pPr>
        <w:kinsoku w:val="0"/>
        <w:autoSpaceDE w:val="0"/>
        <w:autoSpaceDN w:val="0"/>
        <w:adjustRightInd w:val="0"/>
        <w:snapToGrid w:val="0"/>
        <w:spacing w:before="92" w:line="360" w:lineRule="auto"/>
        <w:ind w:left="124"/>
        <w:jc w:val="center"/>
        <w:textAlignment w:val="baseline"/>
        <w:rPr>
          <w:rFonts w:hint="eastAsia" w:ascii="宋体" w:hAnsi="宋体" w:eastAsia="宋体" w:cs="宋体"/>
          <w:b/>
          <w:bCs/>
          <w:snapToGrid w:val="0"/>
          <w:color w:val="000000"/>
          <w:spacing w:val="2"/>
          <w:kern w:val="0"/>
          <w:sz w:val="32"/>
          <w:szCs w:val="32"/>
          <w:lang w:val="en-US" w:eastAsia="zh-CN" w:bidi="ar-SA"/>
        </w:rPr>
      </w:pPr>
      <w:r>
        <w:rPr>
          <w:rFonts w:hint="eastAsia" w:ascii="宋体" w:hAnsi="宋体" w:eastAsia="宋体" w:cs="宋体"/>
          <w:b/>
          <w:bCs/>
          <w:snapToGrid w:val="0"/>
          <w:color w:val="000000"/>
          <w:spacing w:val="2"/>
          <w:kern w:val="0"/>
          <w:sz w:val="32"/>
          <w:szCs w:val="32"/>
          <w:lang w:val="en-US" w:eastAsia="zh-CN" w:bidi="ar-SA"/>
        </w:rPr>
        <w:t>参考答案及解析</w:t>
      </w:r>
    </w:p>
    <w:p w14:paraId="7FC1C5C1">
      <w:pPr>
        <w:widowControl/>
        <w:kinsoku w:val="0"/>
        <w:autoSpaceDE w:val="0"/>
        <w:autoSpaceDN w:val="0"/>
        <w:adjustRightInd w:val="0"/>
        <w:snapToGrid w:val="0"/>
        <w:spacing w:line="360" w:lineRule="auto"/>
        <w:jc w:val="left"/>
        <w:textAlignment w:val="baseline"/>
        <w:rPr>
          <w:rFonts w:ascii="Arial" w:hAnsi="Arial" w:eastAsia="Arial" w:cs="Arial"/>
          <w:snapToGrid w:val="0"/>
          <w:color w:val="000000"/>
          <w:kern w:val="0"/>
          <w:szCs w:val="21"/>
          <w:lang w:eastAsia="en-US"/>
        </w:rPr>
      </w:pPr>
      <w:r>
        <w:rPr>
          <w:rFonts w:hint="eastAsia" w:ascii="Arial" w:hAnsi="Arial" w:eastAsia="Arial" w:cs="Arial"/>
          <w:snapToGrid w:val="0"/>
          <w:color w:val="000000"/>
          <w:kern w:val="0"/>
          <w:szCs w:val="21"/>
          <w:lang w:val="en-US" w:eastAsia="zh-CN"/>
        </w:rPr>
        <w:t>1.</w:t>
      </w:r>
      <w:r>
        <w:rPr>
          <w:rFonts w:hint="eastAsia" w:ascii="Arial" w:hAnsi="Arial" w:eastAsia="Arial" w:cs="Arial"/>
          <w:snapToGrid w:val="0"/>
          <w:color w:val="000000"/>
          <w:kern w:val="0"/>
          <w:szCs w:val="21"/>
          <w:lang w:eastAsia="en-US"/>
        </w:rPr>
        <w:t>【答案】</w:t>
      </w:r>
      <w:r>
        <w:rPr>
          <w:rFonts w:hint="default" w:ascii="Arial" w:hAnsi="Arial" w:eastAsia="Arial" w:cs="Arial"/>
          <w:snapToGrid w:val="0"/>
          <w:color w:val="000000"/>
          <w:kern w:val="0"/>
          <w:szCs w:val="21"/>
          <w:lang w:eastAsia="en-US"/>
        </w:rPr>
        <w:t>C</w:t>
      </w:r>
    </w:p>
    <w:p w14:paraId="5F73EA72">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eastAsia="en-US"/>
        </w:rPr>
      </w:pPr>
      <w:r>
        <w:rPr>
          <w:rFonts w:hint="eastAsia" w:ascii="Arial" w:hAnsi="Arial" w:eastAsia="Arial" w:cs="Arial"/>
          <w:snapToGrid w:val="0"/>
          <w:color w:val="000000"/>
          <w:kern w:val="0"/>
          <w:szCs w:val="21"/>
          <w:lang w:eastAsia="en-US"/>
        </w:rPr>
        <w:t>【命题意图】本题考查史前文明。意在考查考生从材料中获取和解读信息，调动和运用知识分析问题的能力，其考查的核心素养是历史解释以及时空观念，唯物史观。难度适中。</w:t>
      </w:r>
    </w:p>
    <w:p w14:paraId="18526338">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eastAsia="en-US"/>
        </w:rPr>
      </w:pPr>
      <w:r>
        <w:rPr>
          <w:rFonts w:hint="eastAsia" w:ascii="Arial" w:hAnsi="Arial" w:eastAsia="宋体" w:cs="Arial"/>
          <w:snapToGrid w:val="0"/>
          <w:color w:val="000000"/>
          <w:kern w:val="0"/>
          <w:szCs w:val="21"/>
          <w:lang w:eastAsia="zh-CN"/>
        </w:rPr>
        <w:t>【解析】</w:t>
      </w:r>
      <w:r>
        <w:rPr>
          <w:rFonts w:hint="eastAsia" w:ascii="Arial" w:hAnsi="Arial" w:eastAsia="Arial" w:cs="Arial"/>
          <w:snapToGrid w:val="0"/>
          <w:color w:val="000000"/>
          <w:kern w:val="0"/>
          <w:szCs w:val="21"/>
          <w:lang w:eastAsia="en-US"/>
        </w:rPr>
        <w:t>根据材料可知，</w:t>
      </w:r>
      <w:r>
        <w:rPr>
          <w:rFonts w:hint="default" w:ascii="Arial" w:hAnsi="Arial" w:eastAsia="Arial" w:cs="Arial"/>
          <w:snapToGrid w:val="0"/>
          <w:color w:val="000000"/>
          <w:kern w:val="0"/>
          <w:szCs w:val="21"/>
          <w:lang w:eastAsia="en-US"/>
        </w:rPr>
        <w:t>"</w:t>
      </w:r>
      <w:r>
        <w:rPr>
          <w:rFonts w:hint="eastAsia" w:ascii="Arial" w:hAnsi="Arial" w:eastAsia="Arial" w:cs="Arial"/>
          <w:snapToGrid w:val="0"/>
          <w:color w:val="000000"/>
          <w:kern w:val="0"/>
          <w:szCs w:val="21"/>
          <w:lang w:eastAsia="en-US"/>
        </w:rPr>
        <w:t>蛋壳陶杯</w:t>
      </w:r>
      <w:r>
        <w:rPr>
          <w:rFonts w:hint="default" w:ascii="Arial" w:hAnsi="Arial" w:eastAsia="Arial" w:cs="Arial"/>
          <w:snapToGrid w:val="0"/>
          <w:color w:val="000000"/>
          <w:kern w:val="0"/>
          <w:szCs w:val="21"/>
          <w:lang w:eastAsia="en-US"/>
        </w:rPr>
        <w:t>"</w:t>
      </w:r>
      <w:r>
        <w:rPr>
          <w:rFonts w:hint="eastAsia" w:ascii="Arial" w:hAnsi="Arial" w:eastAsia="Arial" w:cs="Arial"/>
          <w:snapToGrid w:val="0"/>
          <w:color w:val="000000"/>
          <w:kern w:val="0"/>
          <w:szCs w:val="21"/>
          <w:lang w:eastAsia="en-US"/>
        </w:rPr>
        <w:t>此前主要发现于龙山文化遗存，在其他地区极为罕见</w:t>
      </w:r>
      <w:r>
        <w:rPr>
          <w:rFonts w:hint="default" w:ascii="Arial" w:hAnsi="Arial" w:eastAsia="Arial" w:cs="Arial"/>
          <w:snapToGrid w:val="0"/>
          <w:color w:val="000000"/>
          <w:kern w:val="0"/>
          <w:szCs w:val="21"/>
          <w:lang w:eastAsia="en-US"/>
        </w:rPr>
        <w:t>"</w:t>
      </w:r>
      <w:r>
        <w:rPr>
          <w:rFonts w:hint="eastAsia" w:ascii="Arial" w:hAnsi="Arial" w:eastAsia="Arial" w:cs="Arial"/>
          <w:snapToGrid w:val="0"/>
          <w:color w:val="000000"/>
          <w:kern w:val="0"/>
          <w:szCs w:val="21"/>
          <w:lang w:eastAsia="en-US"/>
        </w:rPr>
        <w:t>，但是湖北襄阳凤凰咀遗址出土了</w:t>
      </w:r>
      <w:r>
        <w:rPr>
          <w:rFonts w:hint="default" w:ascii="Arial" w:hAnsi="Arial" w:eastAsia="Arial" w:cs="Arial"/>
          <w:snapToGrid w:val="0"/>
          <w:color w:val="000000"/>
          <w:kern w:val="0"/>
          <w:szCs w:val="21"/>
          <w:lang w:eastAsia="en-US"/>
        </w:rPr>
        <w:t>"</w:t>
      </w:r>
      <w:r>
        <w:rPr>
          <w:rFonts w:hint="eastAsia" w:ascii="Arial" w:hAnsi="Arial" w:eastAsia="Arial" w:cs="Arial"/>
          <w:snapToGrid w:val="0"/>
          <w:color w:val="000000"/>
          <w:kern w:val="0"/>
          <w:szCs w:val="21"/>
          <w:lang w:eastAsia="en-US"/>
        </w:rPr>
        <w:t>蛋壳陶杯</w:t>
      </w:r>
      <w:r>
        <w:rPr>
          <w:rFonts w:hint="default" w:ascii="Arial" w:hAnsi="Arial" w:eastAsia="Arial" w:cs="Arial"/>
          <w:snapToGrid w:val="0"/>
          <w:color w:val="000000"/>
          <w:kern w:val="0"/>
          <w:szCs w:val="21"/>
          <w:lang w:eastAsia="en-US"/>
        </w:rPr>
        <w:t>"</w:t>
      </w:r>
      <w:r>
        <w:rPr>
          <w:rFonts w:hint="eastAsia" w:ascii="Arial" w:hAnsi="Arial" w:eastAsia="Arial" w:cs="Arial"/>
          <w:snapToGrid w:val="0"/>
          <w:color w:val="000000"/>
          <w:kern w:val="0"/>
          <w:szCs w:val="21"/>
          <w:lang w:eastAsia="en-US"/>
        </w:rPr>
        <w:t>，说明两个地区有了一定的联系，故</w:t>
      </w:r>
      <w:r>
        <w:rPr>
          <w:rFonts w:hint="default" w:ascii="Arial" w:hAnsi="Arial" w:eastAsia="Arial" w:cs="Arial"/>
          <w:snapToGrid w:val="0"/>
          <w:color w:val="000000"/>
          <w:kern w:val="0"/>
          <w:szCs w:val="21"/>
          <w:lang w:eastAsia="en-US"/>
        </w:rPr>
        <w:t>C</w:t>
      </w:r>
      <w:r>
        <w:rPr>
          <w:rFonts w:hint="eastAsia" w:ascii="Arial" w:hAnsi="Arial" w:eastAsia="Arial" w:cs="Arial"/>
          <w:snapToGrid w:val="0"/>
          <w:color w:val="000000"/>
          <w:kern w:val="0"/>
          <w:szCs w:val="21"/>
          <w:lang w:eastAsia="en-US"/>
        </w:rPr>
        <w:t>项正确；新石器时期，国家尚未出现，排除</w:t>
      </w:r>
      <w:r>
        <w:rPr>
          <w:rFonts w:hint="default" w:ascii="Arial" w:hAnsi="Arial" w:eastAsia="Arial" w:cs="Arial"/>
          <w:snapToGrid w:val="0"/>
          <w:color w:val="000000"/>
          <w:kern w:val="0"/>
          <w:szCs w:val="21"/>
          <w:lang w:eastAsia="en-US"/>
        </w:rPr>
        <w:t>A</w:t>
      </w:r>
      <w:r>
        <w:rPr>
          <w:rFonts w:hint="eastAsia" w:ascii="Arial" w:hAnsi="Arial" w:eastAsia="Arial" w:cs="Arial"/>
          <w:snapToGrid w:val="0"/>
          <w:color w:val="000000"/>
          <w:kern w:val="0"/>
          <w:szCs w:val="21"/>
          <w:lang w:eastAsia="en-US"/>
        </w:rPr>
        <w:t>项；受生产力水平影响，新石器时代南北地区不可能贸易往来较为频繁，排除</w:t>
      </w:r>
      <w:r>
        <w:rPr>
          <w:rFonts w:hint="default" w:ascii="Arial" w:hAnsi="Arial" w:eastAsia="Arial" w:cs="Arial"/>
          <w:snapToGrid w:val="0"/>
          <w:color w:val="000000"/>
          <w:kern w:val="0"/>
          <w:szCs w:val="21"/>
          <w:lang w:eastAsia="en-US"/>
        </w:rPr>
        <w:t>B</w:t>
      </w:r>
      <w:r>
        <w:rPr>
          <w:rFonts w:hint="eastAsia" w:ascii="Arial" w:hAnsi="Arial" w:eastAsia="Arial" w:cs="Arial"/>
          <w:snapToGrid w:val="0"/>
          <w:color w:val="000000"/>
          <w:kern w:val="0"/>
          <w:szCs w:val="21"/>
          <w:lang w:eastAsia="en-US"/>
        </w:rPr>
        <w:t>项；据材料主要可以推知湖北襄阳凤凰咀和龙山文化之间存在交流，无法得出凤凰咀遗存与大汶口文化同期，排除</w:t>
      </w:r>
      <w:r>
        <w:rPr>
          <w:rFonts w:hint="default" w:ascii="Arial" w:hAnsi="Arial" w:eastAsia="Arial" w:cs="Arial"/>
          <w:snapToGrid w:val="0"/>
          <w:color w:val="000000"/>
          <w:kern w:val="0"/>
          <w:szCs w:val="21"/>
          <w:lang w:eastAsia="en-US"/>
        </w:rPr>
        <w:t>D</w:t>
      </w:r>
      <w:r>
        <w:rPr>
          <w:rFonts w:hint="eastAsia" w:ascii="Arial" w:hAnsi="Arial" w:eastAsia="Arial" w:cs="Arial"/>
          <w:snapToGrid w:val="0"/>
          <w:color w:val="000000"/>
          <w:kern w:val="0"/>
          <w:szCs w:val="21"/>
          <w:lang w:eastAsia="en-US"/>
        </w:rPr>
        <w:t>项。</w:t>
      </w:r>
    </w:p>
    <w:p w14:paraId="20EE1C85">
      <w:pPr>
        <w:widowControl/>
        <w:kinsoku w:val="0"/>
        <w:autoSpaceDE w:val="0"/>
        <w:autoSpaceDN w:val="0"/>
        <w:adjustRightInd w:val="0"/>
        <w:snapToGrid w:val="0"/>
        <w:spacing w:line="360" w:lineRule="auto"/>
        <w:jc w:val="left"/>
        <w:textAlignment w:val="baseline"/>
        <w:rPr>
          <w:rFonts w:ascii="Arial" w:hAnsi="Arial" w:eastAsia="Arial" w:cs="Arial"/>
          <w:snapToGrid w:val="0"/>
          <w:color w:val="000000"/>
          <w:kern w:val="0"/>
          <w:szCs w:val="21"/>
          <w:lang w:eastAsia="en-US"/>
        </w:rPr>
      </w:pPr>
      <w:r>
        <w:rPr>
          <w:rFonts w:hint="eastAsia" w:ascii="Arial" w:hAnsi="Arial" w:eastAsia="Arial" w:cs="Arial"/>
          <w:snapToGrid w:val="0"/>
          <w:color w:val="000000"/>
          <w:kern w:val="0"/>
          <w:szCs w:val="21"/>
          <w:lang w:val="en-US" w:eastAsia="zh-CN"/>
        </w:rPr>
        <w:t>2.</w:t>
      </w:r>
      <w:r>
        <w:rPr>
          <w:rFonts w:hint="eastAsia" w:ascii="Arial" w:hAnsi="Arial" w:eastAsia="Arial" w:cs="Arial"/>
          <w:snapToGrid w:val="0"/>
          <w:color w:val="000000"/>
          <w:kern w:val="0"/>
          <w:szCs w:val="21"/>
          <w:lang w:eastAsia="en-US"/>
        </w:rPr>
        <w:t>【答案】</w:t>
      </w:r>
      <w:r>
        <w:rPr>
          <w:rFonts w:hint="default" w:ascii="Arial" w:hAnsi="Arial" w:eastAsia="Arial" w:cs="Arial"/>
          <w:snapToGrid w:val="0"/>
          <w:color w:val="000000"/>
          <w:kern w:val="0"/>
          <w:szCs w:val="21"/>
          <w:lang w:eastAsia="en-US"/>
        </w:rPr>
        <w:t>B</w:t>
      </w:r>
    </w:p>
    <w:p w14:paraId="75A2AAA8">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eastAsia="en-US"/>
        </w:rPr>
      </w:pPr>
      <w:r>
        <w:rPr>
          <w:rFonts w:hint="eastAsia" w:ascii="Arial" w:hAnsi="Arial" w:eastAsia="Arial" w:cs="Arial"/>
          <w:snapToGrid w:val="0"/>
          <w:color w:val="000000"/>
          <w:kern w:val="0"/>
          <w:szCs w:val="21"/>
          <w:lang w:eastAsia="en-US"/>
        </w:rPr>
        <w:t>【命题意图】本题考查秦朝的政治制度。意在考查考生从材料中获取和解读信息，调动和运用知识分析问题的能力，其考查的核心素养是历史解释以及时空观念，唯物史观。难度适中。</w:t>
      </w:r>
    </w:p>
    <w:p w14:paraId="0AE01C41">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eastAsia="en-US"/>
        </w:rPr>
      </w:pPr>
      <w:r>
        <w:rPr>
          <w:rFonts w:hint="eastAsia" w:ascii="Arial" w:hAnsi="Arial" w:eastAsia="宋体" w:cs="Arial"/>
          <w:snapToGrid w:val="0"/>
          <w:color w:val="000000"/>
          <w:kern w:val="0"/>
          <w:szCs w:val="21"/>
          <w:lang w:eastAsia="zh-CN"/>
        </w:rPr>
        <w:t>【解析】</w:t>
      </w:r>
      <w:r>
        <w:rPr>
          <w:rFonts w:hint="eastAsia" w:ascii="Arial" w:hAnsi="Arial" w:eastAsia="Arial" w:cs="Arial"/>
          <w:snapToGrid w:val="0"/>
          <w:color w:val="000000"/>
          <w:kern w:val="0"/>
          <w:szCs w:val="21"/>
          <w:lang w:eastAsia="en-US"/>
        </w:rPr>
        <w:t>根据材料可知，秦朝时期，中央要求地方官员不能实行苛刻的徭役抢夺百姓春夏农时，这说明秦朝建立后依然很重视农业生产，延续秦国耕战国策，</w:t>
      </w:r>
      <w:r>
        <w:rPr>
          <w:rFonts w:hint="default" w:ascii="Arial" w:hAnsi="Arial" w:eastAsia="Arial" w:cs="Arial"/>
          <w:snapToGrid w:val="0"/>
          <w:color w:val="000000"/>
          <w:kern w:val="0"/>
          <w:szCs w:val="21"/>
          <w:lang w:eastAsia="en-US"/>
        </w:rPr>
        <w:t>B</w:t>
      </w:r>
      <w:r>
        <w:rPr>
          <w:rFonts w:hint="eastAsia" w:ascii="Arial" w:hAnsi="Arial" w:eastAsia="Arial" w:cs="Arial"/>
          <w:snapToGrid w:val="0"/>
          <w:color w:val="000000"/>
          <w:kern w:val="0"/>
          <w:szCs w:val="21"/>
          <w:lang w:eastAsia="en-US"/>
        </w:rPr>
        <w:t>项正确；材料主要是强调秦朝重视农业生产，没有涉及相权挑战皇权的相关信息，排除</w:t>
      </w:r>
      <w:r>
        <w:rPr>
          <w:rFonts w:hint="default" w:ascii="Arial" w:hAnsi="Arial" w:eastAsia="Arial" w:cs="Arial"/>
          <w:snapToGrid w:val="0"/>
          <w:color w:val="000000"/>
          <w:kern w:val="0"/>
          <w:szCs w:val="21"/>
          <w:lang w:eastAsia="en-US"/>
        </w:rPr>
        <w:t>A </w:t>
      </w:r>
      <w:r>
        <w:rPr>
          <w:rFonts w:hint="eastAsia" w:ascii="Arial" w:hAnsi="Arial" w:eastAsia="Arial" w:cs="Arial"/>
          <w:snapToGrid w:val="0"/>
          <w:color w:val="000000"/>
          <w:kern w:val="0"/>
          <w:szCs w:val="21"/>
          <w:lang w:eastAsia="en-US"/>
        </w:rPr>
        <w:t>项；材料体现的是统治比较合理，不实行苛刻的徭役，</w:t>
      </w:r>
      <w:bookmarkStart w:id="0" w:name="_GoBack"/>
      <w:bookmarkEnd w:id="0"/>
      <w:r>
        <w:rPr>
          <w:rFonts w:hint="eastAsia" w:ascii="Arial" w:hAnsi="Arial" w:eastAsia="Arial" w:cs="Arial"/>
          <w:snapToGrid w:val="0"/>
          <w:color w:val="000000"/>
          <w:kern w:val="0"/>
          <w:szCs w:val="21"/>
          <w:lang w:eastAsia="en-US"/>
        </w:rPr>
        <w:t>排除</w:t>
      </w:r>
      <w:r>
        <w:rPr>
          <w:rFonts w:hint="default" w:ascii="Arial" w:hAnsi="Arial" w:eastAsia="Arial" w:cs="Arial"/>
          <w:snapToGrid w:val="0"/>
          <w:color w:val="000000"/>
          <w:kern w:val="0"/>
          <w:szCs w:val="21"/>
          <w:lang w:eastAsia="en-US"/>
        </w:rPr>
        <w:t>C</w:t>
      </w:r>
      <w:r>
        <w:rPr>
          <w:rFonts w:hint="eastAsia" w:ascii="Arial" w:hAnsi="Arial" w:eastAsia="Arial" w:cs="Arial"/>
          <w:snapToGrid w:val="0"/>
          <w:color w:val="000000"/>
          <w:kern w:val="0"/>
          <w:szCs w:val="21"/>
          <w:lang w:eastAsia="en-US"/>
        </w:rPr>
        <w:t>项；秦朝尚法，非崇儒，排除</w:t>
      </w:r>
      <w:r>
        <w:rPr>
          <w:rFonts w:hint="default" w:ascii="Arial" w:hAnsi="Arial" w:eastAsia="Arial" w:cs="Arial"/>
          <w:snapToGrid w:val="0"/>
          <w:color w:val="000000"/>
          <w:kern w:val="0"/>
          <w:szCs w:val="21"/>
          <w:lang w:eastAsia="en-US"/>
        </w:rPr>
        <w:t>D</w:t>
      </w:r>
      <w:r>
        <w:rPr>
          <w:rFonts w:hint="eastAsia" w:ascii="Arial" w:hAnsi="Arial" w:eastAsia="Arial" w:cs="Arial"/>
          <w:snapToGrid w:val="0"/>
          <w:color w:val="000000"/>
          <w:kern w:val="0"/>
          <w:szCs w:val="21"/>
          <w:lang w:eastAsia="en-US"/>
        </w:rPr>
        <w:t>项。故选</w:t>
      </w:r>
      <w:r>
        <w:rPr>
          <w:rFonts w:hint="default" w:ascii="Arial" w:hAnsi="Arial" w:eastAsia="Arial" w:cs="Arial"/>
          <w:snapToGrid w:val="0"/>
          <w:color w:val="000000"/>
          <w:kern w:val="0"/>
          <w:szCs w:val="21"/>
          <w:lang w:eastAsia="en-US"/>
        </w:rPr>
        <w:t>B </w:t>
      </w:r>
      <w:r>
        <w:rPr>
          <w:rFonts w:hint="eastAsia" w:ascii="Arial" w:hAnsi="Arial" w:eastAsia="Arial" w:cs="Arial"/>
          <w:snapToGrid w:val="0"/>
          <w:color w:val="000000"/>
          <w:kern w:val="0"/>
          <w:szCs w:val="21"/>
          <w:lang w:eastAsia="en-US"/>
        </w:rPr>
        <w:t>项。</w:t>
      </w:r>
    </w:p>
    <w:p w14:paraId="3FFAD951">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3.【答案】A</w:t>
      </w:r>
    </w:p>
    <w:p w14:paraId="2E73EC5D">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【命题意图】本题考查唐朝政治制度。意在考查考生从材料中获取和解读信息，调动和运用知识分析问题的能力，其考查的核心素养是历史解释。难度适中。</w:t>
      </w:r>
    </w:p>
    <w:p w14:paraId="42F335B3">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根据材料内容可知，当时节度使的更替，朝廷要么立刻任命亲王遥领节度使一职，要么搁置数月，并且具体的任命由宦官传达，这说明此时藩镇的独立性受到朝廷的限制，A项正确；材料体现节度使任免要么立刻任命亲王遥领节度使一职，要么搁置数月，说明任免程序不规范，排除B项；外重内轻局面是在天宝年间出现，排除C项；材料重点强调的是藩镇的独立性受限，无法得出宦官权力有所扩大，排除D项。故选A项。</w:t>
      </w:r>
    </w:p>
    <w:p w14:paraId="16DF605B">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4.【答案】B</w:t>
      </w:r>
    </w:p>
    <w:p w14:paraId="1A57B6A1">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【命题意图】本题考查元朝政治制度以及经济政策。意在考查考生从材料中获取和解读信息，调动和运用知识分析问题的能力，其考查的核心素养是历史解释。难度适中。</w:t>
      </w:r>
    </w:p>
    <w:p w14:paraId="2E5768FE">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根据材料可知，元朝前期，南方地区纳税较北方轻，这说明元朝前期，政府优容江南经济，B项正确；元朝政府并未抑制土地兼并，排除A项；材料没有简化赋税名目的相关信息，无法得出此结论，排除C项；元朝实行四等人制，南人地位低下，排除D项。故选B项。</w:t>
      </w:r>
    </w:p>
    <w:p w14:paraId="32A20A1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5.【答案】D</w:t>
      </w:r>
    </w:p>
    <w:p w14:paraId="44A413E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【命题意图】本题考查明朝政治制度以及明汉对比。意在考查考生从材料中获取和解读信息，调动和运用知识分析问题的能力，其考查的核心素养是历史解释以及时空观念。难度较小。</w:t>
      </w:r>
    </w:p>
    <w:p w14:paraId="4FCE9AC4">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根据材料"明祖行事多仿汉高"结合所学知识可知，明太祖建立明朝之后分封子弟到各地做藩王，也及时建立宗室藩屏，这与汉高祖建立汉朝后实行封国制异曲同工，D项正确；明太祖并没有定鼎前朝旧都（大都），排除 A 项；汉高祖没有推行文化专制，排除B项；汉高祖没有废除行政中枢，排除C项。故选D项。</w:t>
      </w:r>
    </w:p>
    <w:p w14:paraId="40DE373F">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6.【答案】C</w:t>
      </w:r>
    </w:p>
    <w:p w14:paraId="68347079">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【命题意图】本题考查晚清外交政策。意在考查考生从材料中获取和解读信息，调动和运用知识分析问题的能力，其考查的核心素养是历史解释以及时空观念，唯物史观。难度较小。</w:t>
      </w:r>
    </w:p>
    <w:p w14:paraId="25C0E4D7">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根据材料可知，这种演变体现了中国近代对世界的了解逐渐增多、认识逐步深入，体现了中国外交逐渐近代化的趋势，C项正确；由第一代到第代的演变体现的是清政府洋务运动的成果，和民主革命思想的深化无关，排除 A项；促成近代中外关系的平等说法不符合史实，排除B项；第三代外交官顾维钧等，他们外交活动的主要时期是民国时期，清朝已经灭亡，排除D项。故选C项。</w:t>
      </w:r>
    </w:p>
    <w:p w14:paraId="3B95527F">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7.【答案】C</w:t>
      </w:r>
    </w:p>
    <w:p w14:paraId="37AF080D">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新民主主义革命以及国民革命。关切热点----考查“五史”。同时关注周年，1924年国民革命。意在考查考生从材料中获取和解读信息，调动和运用知识分析问题的能力，其考查的核心素养是历史解释以及时空观念，唯物史观。难度较大。</w:t>
      </w:r>
    </w:p>
    <w:p w14:paraId="7D9F4A9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本题是组合类选择题。时空是：1925年（中国）。据题干表格中各省的岁入、岁出和军费数据，结合所学知识可知，从表格中可以看出北洋政府统治下的部分省份收支失衡，如奉天、直隶等，②正确；同时各省军费开支巨大，反映出当时军阀混战的局面，也体现出进行国民革命、打倒军阀的迫切性，③正确；表格信息无法直接体现民族资本主义发展情况，①错误；表格主要体现的是北洋军阀统治下的状况，不能明确体现南北军阀都是一丘之貉（1917年护法运动），④错误。故本题选C项。</w:t>
      </w:r>
    </w:p>
    <w:p w14:paraId="5EAB7D8F">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8.【答案】B</w:t>
      </w:r>
    </w:p>
    <w:p w14:paraId="291D8180">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抗日战争以及中共的抗日政策。关切热点----考查“五史”。意在考查考生从材料中获取和解读信息，调动和运用知识分析问题的能力，其考查的核心素养是历史解释以及时空观念，家国情怀。难度较大。</w:t>
      </w:r>
    </w:p>
    <w:p w14:paraId="59604E3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根据材料可知，1944年，正值抗日战争相持阶段，国民党正面战场豫湘桂战役大溃败，豫湘桂战役使部队大部丧失抵抗信心和战斗力，是其军事上的溃败，也是其政治上腐败的表现。而此时中国共产党领导的敌后抗日根据地正成为抗战的主战场，由此形成鲜明对比，大学生杨静远逐渐由对政治不感兴趣到主动认识中共政纲，进而走上革命道路，这折射出中共的中流砥柱作用得到认可，B项正确；1935年华北事变后全国抗日救亡运动进入新高潮，排除A项；国民党政权深陷统治危机是解放战争后期，排除C项；和平建国成为人民共同愿望是在抗日战争胜利后，排除D项。故选B项。</w:t>
      </w:r>
    </w:p>
    <w:p w14:paraId="3F9077F5">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9.【答案】B</w:t>
      </w:r>
    </w:p>
    <w:p w14:paraId="3E82FF1B">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解放战争以及中共的政策。关切热点----考查“五史”。意在考查考生从材料中获取和解读信息，调动和运用知识分析问题的能力，其考查的核心素养是历史解释以及时空观念，唯物史观。难度较大。</w:t>
      </w:r>
    </w:p>
    <w:p w14:paraId="6BB7E7AB">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根据材料可知，每个解放区具体问题具体情况不同，因此最终没有形成统一的文件政策，表明中共坚持实事求是，故选B项；统一战线指的是两次国共合作，与时间不符，排除A项；1949年春中共七届二中全会工作重心转移，由农村到城市，排除C项；自身建设指的是党要管党，廉洁奉公，等等，与题意无关，排除D项。</w:t>
      </w:r>
    </w:p>
    <w:p w14:paraId="522DFE54">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10.【答案】D</w:t>
      </w:r>
    </w:p>
    <w:p w14:paraId="609E6485">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【命题意图】本题考查新中国后的身份证管理制度。意在考查考生从材料中获取和解读信息，调动和运用知识分析问题的能力，其考查的核心素养是历史解释以及时空观念，唯物史观。难度适中。</w:t>
      </w:r>
    </w:p>
    <w:p w14:paraId="30869339">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根据材料可知20世纪50年代中期国家计划实施身份证制度，但当时由于实行计划经济，户口人员流动较少，最终没有实施，20世纪80年代以后，由于改革开放，由计划经济到市场经济的转变，人口流动量加大，因此居民身份证条例得以实施，这说明人口的流动推动了国家人口管理政策调整，D项正确；依法治国成为基本国策是1997年党的十五大上，时间不符，排除 A项；材料中人口管理政策调整的确是因为经济体制改革，但人口管理政策调整不属于基层自治，排除B项；人口管理的政策是针对全国性的，不能缩小城乡差距，排除C项。故选D项。</w:t>
      </w:r>
    </w:p>
    <w:p w14:paraId="4E4784CD">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11.【答案】A</w:t>
      </w:r>
    </w:p>
    <w:p w14:paraId="2ED08A6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【命题意图】本题考查古罗马的政治制度。意在考查考生从材料中获取和解读信息，调动和运用知识分析问题的能力，其考查的核心素养是历史解释以及时空观念。难度适中。</w:t>
      </w:r>
    </w:p>
    <w:p w14:paraId="27BA4AF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材料中提到禁卫军因特殊待遇和不断增加的赏金而权力膨胀，甚至认为皇帝任命需征得他们同意，这显示出军人集团的势力过大，对政权稳定构成了威胁，A项正确；材料重点强调的是禁卫军权力过大对政权的影响，并没有提及军人待遇的提升是经济繁荣的结果，排除B项；材料主要体现的是为了维护统治，不断提升禁卫军赏金，而非强调这些赏赐是为了增强军队战力，排除C项；材料中并未提及边境压力和军费支出的关系，排除D项。故选A项。</w:t>
      </w:r>
    </w:p>
    <w:p w14:paraId="4D3F314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12.【答案】D</w:t>
      </w:r>
    </w:p>
    <w:p w14:paraId="48DFC2C5">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【命题意图】本题考查中世纪地中海文明。意在考查考生从材料中获取和解读信息，调动和运用知识分析问题的能力，其考查的核心素养是历史解释以及时空观念，唯物史观。难度适中。</w:t>
      </w:r>
    </w:p>
    <w:p w14:paraId="18038339">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根据唯物史观，随着城市商品经济的发展，意大利的佛罗伦萨、威尼斯等城市商业日益繁荣，在经济活动中的影响力不断增大，其发行的货币也逐渐在地区贸易中占据主导地位，D项正确；意大利民族国家兴起在这一时期并不明显，且与货币转变的直接关联不大，排除A项；封建庄园制度主要关注的是农业生产和社会结构，而金币流通的变化更多地反映了贸易和商业活动的变迁，排除B项；此时新航路还未开辟，欧洲并没有大量的贵金属涌入，排除C项。故选D项。</w:t>
      </w:r>
    </w:p>
    <w:p w14:paraId="52BCAF67">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13.【答案】B</w:t>
      </w:r>
    </w:p>
    <w:p w14:paraId="4A115320">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【命题意图】本题考查新航路开辟以及工业革命。意在考查考生从材料中获取和解读信息，调动和运用知识分析问题的能力，其考查的核心素养是历史解释以及时空观念，唯物史观。难度适中。</w:t>
      </w:r>
    </w:p>
    <w:p w14:paraId="31C91DD5">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材料中提到阿姆斯特丹设置大量街灯以及雇佣人员巡逻使得夜晚少有犯罪和骚乱，伦敦的夜晚也有类似情况，这表明随着近代科学的兴起，人类在夜晚的活动变得更加安全和便利，拓展了人类的活动空间，B项正确；材料主要强调的是城市夜晚的情况，与西欧海外活动获利丰厚关系不大，排除A项；材料中并未体现世界经济格局发生巨变，排除C项；工业革命开始于 18 世纪中后期，与材料时间不符，排除D项。故选B项。</w:t>
      </w:r>
    </w:p>
    <w:p w14:paraId="540497C7">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14.【答案】C</w:t>
      </w:r>
    </w:p>
    <w:p w14:paraId="0CF55FA0">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【命题意图】本题考查一战。意在考查考生从材料中获取和解读信息，调动和运用知识分析问题的能力，其考查的核心素养是历史解释以及时空观念。难度适中。</w:t>
      </w:r>
    </w:p>
    <w:p w14:paraId="2BB2D3B0">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据题干中不同国家和地区在一战期间的经济数据变化，多米尼加与德国贸易清零，阿根廷农产品出口量价齐跌，巴西部分产业受影响，而上海、大阪的现代纺织厂产量暴增，这些现象反映了第一次世界大战对世界不同地区经济的影响，体现了第一次世界大战影响的全球性，C项正确；虽然战争确实扰乱了世界市场，但"濒临崩溃"的表述过于绝对，且不符合历史事实，排除A项；题干信息未直接体现欧美国家侵略重心的变化，排除 B 项；单一产业结构的问题并非题干现象的主旨，排除D项。故选C项。</w:t>
      </w:r>
    </w:p>
    <w:p w14:paraId="2B493D8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15.【答案】B</w:t>
      </w:r>
    </w:p>
    <w:p w14:paraId="6A705204">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【命题意图】本题考查美苏冷战时期联邦德国的发展。意在考查考生从材料中获取和解读信息，调动和运用知识分析问题的能力，其考查的核心素养是历史解释以及时空观念，唯物史观。难度适中。</w:t>
      </w:r>
    </w:p>
    <w:p w14:paraId="6CE4D6D4">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解析】据题干中联邦德国的怀旧电影内容，对未遭炮火的乡村和纯朴快乐民众的描绘，以及强调"没有受到最近历史的玷污，也没有受到东西方势力的占领"，这反映出当时联邦德国社会试图通过这种方式来摆脱战败的阴影，重构一种没有战争影响的历史形象，B 项正确；这些电影内容并非是积极反思纳粹罪行，排除A项；题干重点不是强调传承电影艺术，排除C 项；这种重构更多是为了摆脱战败阴影，而非单纯热衷于重构本国历史，排除D项。故选B项。</w:t>
      </w:r>
    </w:p>
    <w:p w14:paraId="3E308CF4">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16.【答案】</w:t>
      </w:r>
    </w:p>
    <w:p w14:paraId="0CF1D71D">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（1）变化：版图范围明显扩大；开始对河西走廊和西域地区进行了有效管辖。</w:t>
      </w:r>
    </w:p>
    <w:p w14:paraId="194C3F51">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 xml:space="preserve">机构：在河西走廊设武威、张掖、酒泉、敦煌四郡，在西域设西域都护府进行军政管理。    </w:t>
      </w:r>
    </w:p>
    <w:p w14:paraId="426EA42F">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（2）原因：中原政权的政局动荡、更迭与强大，影响对西域的控制程度；不同的少数民族势力的兴衰；中原王朝一般的地理环境，农耕经济发展的需要；新疆的农业优势。</w:t>
      </w:r>
    </w:p>
    <w:p w14:paraId="0D3FD781">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17.【答案】</w:t>
      </w:r>
    </w:p>
    <w:p w14:paraId="7F438A00">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 xml:space="preserve">（1）特征：集中在少数地区，北京、广东、江苏、上海、浙江创办期刊的数量较多；《新青年》《科学》《太平洋》是当时思想界的代表；期刊的种类丰富；与思想启蒙和救亡图存的色彩；    </w:t>
      </w:r>
    </w:p>
    <w:p w14:paraId="21390B7B">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（2）背景：五四运动的影响；新文化运动中对民主和科学的宣传；政党政治的发展，中国共产党、国民党等的宣传；辛亥革命推动了中华民族思想解放；民族资本主义的发展；西方新思想的传播等等。</w:t>
      </w:r>
    </w:p>
    <w:p w14:paraId="4BA6BA5D">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18.【答案】</w:t>
      </w:r>
    </w:p>
    <w:p w14:paraId="1D894884">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 xml:space="preserve">（1）原因：殖民主义传统的影响；法国政治人物戴高乐固守殖民帝国的政策；殖民地与法国大国的地位相结合。    </w:t>
      </w:r>
    </w:p>
    <w:p w14:paraId="4D2455AC">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（2）转变：建立法兰西共同体，许可殖民地对内的自治权；抨击美国霸权主义；支持民族独立。</w:t>
      </w:r>
    </w:p>
    <w:p w14:paraId="55567DD0">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评述：美苏两极对峙逐步形成，欧洲成为美国与苏联对峙的前沿阵地。二战后法国经历社会经济的逐渐恢复，戴高乐政府谋求法国重新建立大国地位，法国和联邦德国和解并组建欧洲共同体，多极化趋势的发展冲击两极格局。二战后亚非拉民族解放运动不断地高涨，冲击战后西方殖民主义的统治。因此，综合以上因素，戴高乐政府调整了法国的对外政策。</w:t>
      </w:r>
    </w:p>
    <w:p w14:paraId="68731882">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19.【答案】</w:t>
      </w:r>
    </w:p>
    <w:p w14:paraId="3DE90B26">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选择类型三：关键物品的出现催生出全新的物品体系。</w:t>
      </w:r>
    </w:p>
    <w:p w14:paraId="38654613">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论题：科技革命推动世界文明进步。</w:t>
      </w:r>
    </w:p>
    <w:p w14:paraId="6AD873CD">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论述：人类历史上三次科技革命，推动了生产力的大发展，先后出现蒸汽机、内燃机、计算机等关键物品，推动了交通、通信、电力等多个行业的技术革新，由此引发了一系列的变革，辐射出诸如汽车、飞机、地铁、互联网、人工智能等一系列新物品体系，改变了人们的日常生活。</w:t>
      </w:r>
    </w:p>
    <w:p w14:paraId="7A2BF86C">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r>
        <w:rPr>
          <w:rFonts w:hint="eastAsia" w:ascii="Arial" w:hAnsi="Arial" w:eastAsia="宋体" w:cs="Arial"/>
          <w:snapToGrid w:val="0"/>
          <w:color w:val="000000"/>
          <w:kern w:val="0"/>
          <w:szCs w:val="21"/>
          <w:lang w:val="en-US" w:eastAsia="zh-CN"/>
        </w:rPr>
        <w:t>总之，关键物品的出现，推动了世界物品体系的完整，推动世界科技的发展，促进人类文明进步。</w:t>
      </w:r>
    </w:p>
    <w:p w14:paraId="32AAE3E1">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val="en-US" w:eastAsia="zh-CN"/>
        </w:rPr>
      </w:pPr>
    </w:p>
    <w:p w14:paraId="35400D05">
      <w:pPr>
        <w:spacing w:line="360" w:lineRule="auto"/>
      </w:pPr>
    </w:p>
    <w:sectPr>
      <w:pgSz w:w="11900" w:h="16840"/>
      <w:pgMar w:top="1440" w:right="1080" w:bottom="1440" w:left="10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4E5761"/>
    <w:rsid w:val="012D3BCA"/>
    <w:rsid w:val="02AB5C4A"/>
    <w:rsid w:val="07E45CD3"/>
    <w:rsid w:val="1649696C"/>
    <w:rsid w:val="1AA202E3"/>
    <w:rsid w:val="235419E0"/>
    <w:rsid w:val="2FBE71DB"/>
    <w:rsid w:val="37A95295"/>
    <w:rsid w:val="38536650"/>
    <w:rsid w:val="3F4E5761"/>
    <w:rsid w:val="4CB619E6"/>
    <w:rsid w:val="503E6F6B"/>
    <w:rsid w:val="590E2436"/>
    <w:rsid w:val="61CF445A"/>
    <w:rsid w:val="63C53FB1"/>
    <w:rsid w:val="64F40B2E"/>
    <w:rsid w:val="691F2E54"/>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8"/>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6">
    <w:name w:val="Default Paragraph Font"/>
    <w:semiHidden/>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7">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8">
    <w:name w:val="标题 1 Char"/>
    <w:basedOn w:val="6"/>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2025-03-04T01:41:00Z</dcterms:created>
  <dc:creator>09ub79gws5032</dc:creator>
  <cp:lastModifiedBy>09ub79gws5032</cp:lastModifiedBy>
  <dcterms:modified xsi:type="dcterms:W3CDTF">2025-03-04T01:41:51Z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4F4CA9EF35B44608A6CBBF45C8932A77_11</vt:lpwstr>
  </property>
  <property fmtid="{D5CDD505-2E9C-101B-9397-08002B2CF9AE}" pid="4" name="KSOTemplateDocerSaveRecord">
    <vt:lpwstr>eyJoZGlkIjoiNzc1ZjZhMzE5NjYxNzVkNzEzNjRiMGQ1NWEwYzM3NzAiLCJ1c2VySWQiOiI4MzkwOTI2MzQifQ==</vt:lpwstr>
  </property>
</Properties>
</file>