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326A8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 w14:paraId="7519479D">
      <w:pPr>
        <w:pStyle w:val="4"/>
        <w:bidi w:val="0"/>
        <w:jc w:val="left"/>
      </w:pPr>
      <w:r>
        <w:t>一、选择题：本大题</w:t>
      </w:r>
      <w:r>
        <w:rPr>
          <w:rFonts w:hint="eastAsia"/>
        </w:rPr>
        <w:t>共15小题，每小题</w:t>
      </w:r>
      <w:r>
        <w:rPr>
          <w:rFonts w:hint="default"/>
        </w:rPr>
        <w:t>3</w:t>
      </w:r>
      <w:r>
        <w:rPr>
          <w:rFonts w:hint="eastAsia"/>
        </w:rPr>
        <w:t>分，共</w:t>
      </w:r>
      <w:r>
        <w:rPr>
          <w:rFonts w:hint="default"/>
        </w:rPr>
        <w:t>45</w:t>
      </w:r>
      <w:r>
        <w:rPr>
          <w:rFonts w:hint="eastAsia"/>
        </w:rPr>
        <w:t>分。在每小题列出的四个选项中，只有一个是符合题目要求的。</w:t>
      </w:r>
      <w:bookmarkStart w:id="0" w:name="_GoBack"/>
      <w:bookmarkEnd w:id="0"/>
    </w:p>
    <w:tbl>
      <w:tblPr>
        <w:tblW w:w="0" w:type="auto"/>
        <w:jc w:val="center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1"/>
        <w:gridCol w:w="801"/>
        <w:gridCol w:w="803"/>
        <w:gridCol w:w="803"/>
        <w:gridCol w:w="835"/>
        <w:gridCol w:w="748"/>
        <w:gridCol w:w="861"/>
        <w:gridCol w:w="784"/>
        <w:gridCol w:w="859"/>
        <w:gridCol w:w="687"/>
        <w:gridCol w:w="932"/>
      </w:tblGrid>
      <w:tr w14:paraId="54B12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  <w:tblCellSpacing w:w="15" w:type="dxa"/>
          <w:jc w:val="center"/>
        </w:trPr>
        <w:tc>
          <w:tcPr>
            <w:tcW w:w="776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C03341E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题号</w:t>
            </w:r>
          </w:p>
        </w:tc>
        <w:tc>
          <w:tcPr>
            <w:tcW w:w="771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5EB9666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8C9BF1E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68B71C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805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7BB46C0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718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112329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5</w:t>
            </w:r>
          </w:p>
        </w:tc>
        <w:tc>
          <w:tcPr>
            <w:tcW w:w="831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A3B93B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6</w:t>
            </w:r>
          </w:p>
        </w:tc>
        <w:tc>
          <w:tcPr>
            <w:tcW w:w="754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DB8148B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7</w:t>
            </w:r>
          </w:p>
        </w:tc>
        <w:tc>
          <w:tcPr>
            <w:tcW w:w="829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4D47BB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8</w:t>
            </w:r>
          </w:p>
        </w:tc>
        <w:tc>
          <w:tcPr>
            <w:tcW w:w="657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AC7D3F2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9</w:t>
            </w:r>
          </w:p>
        </w:tc>
        <w:tc>
          <w:tcPr>
            <w:tcW w:w="887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1D09850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10</w:t>
            </w:r>
          </w:p>
        </w:tc>
      </w:tr>
      <w:tr w14:paraId="583DD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15" w:type="dxa"/>
          <w:jc w:val="center"/>
        </w:trPr>
        <w:tc>
          <w:tcPr>
            <w:tcW w:w="776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A9EC05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答案</w:t>
            </w:r>
          </w:p>
        </w:tc>
        <w:tc>
          <w:tcPr>
            <w:tcW w:w="771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458DD77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B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561E52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B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E2D567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D</w:t>
            </w:r>
          </w:p>
        </w:tc>
        <w:tc>
          <w:tcPr>
            <w:tcW w:w="805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FD6ED74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A</w:t>
            </w:r>
          </w:p>
        </w:tc>
        <w:tc>
          <w:tcPr>
            <w:tcW w:w="718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DD6C9A3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B</w:t>
            </w:r>
          </w:p>
        </w:tc>
        <w:tc>
          <w:tcPr>
            <w:tcW w:w="831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A0A373A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C</w:t>
            </w:r>
          </w:p>
        </w:tc>
        <w:tc>
          <w:tcPr>
            <w:tcW w:w="754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B8087A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D</w:t>
            </w:r>
          </w:p>
        </w:tc>
        <w:tc>
          <w:tcPr>
            <w:tcW w:w="829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24668D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C</w:t>
            </w:r>
          </w:p>
        </w:tc>
        <w:tc>
          <w:tcPr>
            <w:tcW w:w="657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AC3593F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D</w:t>
            </w:r>
          </w:p>
        </w:tc>
        <w:tc>
          <w:tcPr>
            <w:tcW w:w="887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F42A1A0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C</w:t>
            </w:r>
          </w:p>
        </w:tc>
      </w:tr>
      <w:tr w14:paraId="6FAC3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  <w:tblCellSpacing w:w="15" w:type="dxa"/>
          <w:jc w:val="center"/>
        </w:trPr>
        <w:tc>
          <w:tcPr>
            <w:tcW w:w="776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6CF5D91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题号</w:t>
            </w:r>
          </w:p>
        </w:tc>
        <w:tc>
          <w:tcPr>
            <w:tcW w:w="771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CF89E4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11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2F65C5E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12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1DF938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13</w:t>
            </w:r>
          </w:p>
        </w:tc>
        <w:tc>
          <w:tcPr>
            <w:tcW w:w="2414" w:type="dxa"/>
            <w:gridSpan w:val="3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C820F57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14</w:t>
            </w:r>
          </w:p>
        </w:tc>
        <w:tc>
          <w:tcPr>
            <w:tcW w:w="3217" w:type="dxa"/>
            <w:gridSpan w:val="4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F0ECFB0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15</w:t>
            </w:r>
          </w:p>
        </w:tc>
      </w:tr>
      <w:tr w14:paraId="7984F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tblCellSpacing w:w="15" w:type="dxa"/>
          <w:jc w:val="center"/>
        </w:trPr>
        <w:tc>
          <w:tcPr>
            <w:tcW w:w="776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A40D2B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答案</w:t>
            </w:r>
          </w:p>
        </w:tc>
        <w:tc>
          <w:tcPr>
            <w:tcW w:w="771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D741070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A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1664F48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B</w:t>
            </w:r>
          </w:p>
        </w:tc>
        <w:tc>
          <w:tcPr>
            <w:tcW w:w="773" w:type="dxa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FFE1693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A</w:t>
            </w:r>
          </w:p>
        </w:tc>
        <w:tc>
          <w:tcPr>
            <w:tcW w:w="2414" w:type="dxa"/>
            <w:gridSpan w:val="3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A3BAC42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A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分）；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C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0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分）；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D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</w:t>
            </w:r>
          </w:p>
        </w:tc>
        <w:tc>
          <w:tcPr>
            <w:tcW w:w="3217" w:type="dxa"/>
            <w:gridSpan w:val="4"/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2594D2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A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分）；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B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</w:t>
            </w:r>
          </w:p>
          <w:p w14:paraId="0E4E3402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C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分）；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D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0</w:t>
            </w: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分）</w:t>
            </w:r>
          </w:p>
        </w:tc>
      </w:tr>
    </w:tbl>
    <w:p w14:paraId="221B559B">
      <w:pPr>
        <w:pStyle w:val="4"/>
        <w:bidi w:val="0"/>
        <w:jc w:val="left"/>
      </w:pPr>
      <w:r>
        <w:rPr>
          <w:rFonts w:hint="eastAsia"/>
        </w:rPr>
        <w:t>二、非选择题：本大题共</w:t>
      </w:r>
      <w:r>
        <w:rPr>
          <w:rFonts w:hint="default"/>
        </w:rPr>
        <w:t>4</w:t>
      </w:r>
      <w:r>
        <w:rPr>
          <w:rFonts w:hint="eastAsia"/>
        </w:rPr>
        <w:t>小题，共</w:t>
      </w:r>
      <w:r>
        <w:rPr>
          <w:rFonts w:hint="default"/>
        </w:rPr>
        <w:t>55</w:t>
      </w:r>
      <w:r>
        <w:rPr>
          <w:rFonts w:hint="eastAsia"/>
        </w:rPr>
        <w:t>分。</w:t>
      </w:r>
    </w:p>
    <w:p w14:paraId="7223AA72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Style w:val="8"/>
          <w:rFonts w:hint="eastAsia" w:ascii="黑体" w:hAnsi="宋体" w:eastAsia="黑体" w:cs="黑体"/>
          <w:sz w:val="25"/>
          <w:szCs w:val="25"/>
        </w:rPr>
        <w:t>16</w:t>
      </w:r>
      <w:r>
        <w:rPr>
          <w:rStyle w:val="8"/>
          <w:rFonts w:hint="eastAsia" w:ascii="宋体" w:hAnsi="宋体" w:eastAsia="宋体" w:cs="宋体"/>
          <w:sz w:val="25"/>
          <w:szCs w:val="25"/>
        </w:rPr>
        <w:t>．</w:t>
      </w:r>
      <w:r>
        <w:rPr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1</w:t>
      </w:r>
      <w:r>
        <w:rPr>
          <w:rFonts w:hint="eastAsia" w:ascii="宋体" w:hAnsi="宋体" w:eastAsia="宋体" w:cs="宋体"/>
          <w:sz w:val="25"/>
          <w:szCs w:val="25"/>
        </w:rPr>
        <w:t>）材料一：用于基层治理；档案保存与管理；</w:t>
      </w:r>
    </w:p>
    <w:p w14:paraId="112C66D1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材料二：处理民间日常生活问题；规范社会秩序；</w:t>
      </w:r>
    </w:p>
    <w:p w14:paraId="653949D9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材料三：为经济活动提供便利；传承文化。</w:t>
      </w:r>
    </w:p>
    <w:p w14:paraId="44B7B231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2</w:t>
      </w:r>
      <w:r>
        <w:rPr>
          <w:rFonts w:hint="eastAsia" w:ascii="宋体" w:hAnsi="宋体" w:eastAsia="宋体" w:cs="宋体"/>
          <w:sz w:val="25"/>
          <w:szCs w:val="25"/>
        </w:rPr>
        <w:t>）儒学向基层渗透；儒释融合发展，深刻影响民众。</w:t>
      </w:r>
    </w:p>
    <w:p w14:paraId="49684E8E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3</w:t>
      </w:r>
      <w:r>
        <w:rPr>
          <w:rFonts w:hint="eastAsia" w:ascii="宋体" w:hAnsi="宋体" w:eastAsia="宋体" w:cs="宋体"/>
          <w:sz w:val="25"/>
          <w:szCs w:val="25"/>
        </w:rPr>
        <w:t>）对于研究徽商等社会群体、商路交通、区域风土人情、地图、社会生活等都有研究价值。</w:t>
      </w:r>
    </w:p>
    <w:p w14:paraId="2EEC8F5E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17．</w:t>
      </w:r>
      <w:r>
        <w:rPr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1</w:t>
      </w:r>
      <w:r>
        <w:rPr>
          <w:rFonts w:hint="eastAsia" w:ascii="宋体" w:hAnsi="宋体" w:eastAsia="宋体" w:cs="宋体"/>
          <w:sz w:val="25"/>
          <w:szCs w:val="25"/>
        </w:rPr>
        <w:t>）技术手段的进步；新式教育的发展；新文化运动的影响；巴黎和会上中国外交的失败；民族资本主义的发展。</w:t>
      </w:r>
    </w:p>
    <w:p w14:paraId="63B83F33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2</w:t>
      </w:r>
      <w:r>
        <w:rPr>
          <w:rFonts w:hint="eastAsia" w:ascii="宋体" w:hAnsi="宋体" w:eastAsia="宋体" w:cs="宋体"/>
          <w:sz w:val="25"/>
          <w:szCs w:val="25"/>
        </w:rPr>
        <w:t>）参与规模：社会各阶层广泛参与；区域扩展；</w:t>
      </w:r>
    </w:p>
    <w:p w14:paraId="29884565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话语策略：高举爱国主义旗帜；</w:t>
      </w:r>
    </w:p>
    <w:p w14:paraId="62E7D3C8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影响力：取得了初步胜利；思想解放；新民主主义革命的开端。</w:t>
      </w:r>
    </w:p>
    <w:p w14:paraId="108EB5F1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3</w:t>
      </w:r>
      <w:r>
        <w:rPr>
          <w:rFonts w:hint="eastAsia" w:ascii="宋体" w:hAnsi="宋体" w:eastAsia="宋体" w:cs="宋体"/>
          <w:sz w:val="25"/>
          <w:szCs w:val="25"/>
        </w:rPr>
        <w:t>）能够运用唯物史观进行分析，结合具体史实，言之成理。</w:t>
      </w:r>
    </w:p>
    <w:p w14:paraId="5D199B6F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18．</w:t>
      </w:r>
      <w:r>
        <w:rPr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1</w:t>
      </w:r>
      <w:r>
        <w:rPr>
          <w:rFonts w:hint="eastAsia" w:ascii="宋体" w:hAnsi="宋体" w:eastAsia="宋体" w:cs="宋体"/>
          <w:sz w:val="25"/>
          <w:szCs w:val="25"/>
        </w:rPr>
        <w:t>）殖民扩张的推动；移民文化的影响；政府的推动；工业化的扩展。</w:t>
      </w:r>
    </w:p>
    <w:p w14:paraId="733EC653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（</w:t>
      </w:r>
      <w:r>
        <w:rPr>
          <w:rFonts w:hint="default" w:ascii="Times New Roman" w:hAnsi="Times New Roman" w:cs="Times New Roman"/>
          <w:sz w:val="25"/>
          <w:szCs w:val="25"/>
        </w:rPr>
        <w:t>2</w:t>
      </w:r>
      <w:r>
        <w:rPr>
          <w:rFonts w:hint="eastAsia" w:ascii="宋体" w:hAnsi="宋体" w:eastAsia="宋体" w:cs="宋体"/>
          <w:sz w:val="25"/>
          <w:szCs w:val="25"/>
        </w:rPr>
        <w:t>）资产阶级代议制；政党制度；文官制度；法律制度；国家结构形式。</w:t>
      </w:r>
    </w:p>
    <w:p w14:paraId="0D2C87BF">
      <w:pPr>
        <w:pStyle w:val="5"/>
        <w:keepNext w:val="0"/>
        <w:keepLines w:val="0"/>
        <w:widowControl/>
        <w:suppressLineNumbers w:val="0"/>
        <w:spacing w:before="120" w:beforeAutospacing="0" w:after="120" w:afterAutospacing="0"/>
        <w:jc w:val="both"/>
      </w:pPr>
      <w:r>
        <w:rPr>
          <w:rFonts w:hint="eastAsia" w:ascii="宋体" w:hAnsi="宋体" w:eastAsia="宋体" w:cs="宋体"/>
          <w:sz w:val="25"/>
          <w:szCs w:val="25"/>
        </w:rPr>
        <w:t>19．</w:t>
      </w:r>
      <w:r>
        <w:rPr>
          <w:sz w:val="25"/>
          <w:szCs w:val="25"/>
        </w:rPr>
        <w:t>评分参考如下：</w:t>
      </w:r>
    </w:p>
    <w:tbl>
      <w:tblPr>
        <w:tblW w:w="0" w:type="auto"/>
        <w:jc w:val="center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1"/>
        <w:gridCol w:w="7462"/>
      </w:tblGrid>
      <w:tr w14:paraId="51BD4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</w:tblPrEx>
        <w:trPr>
          <w:tblCellSpacing w:w="15" w:type="dxa"/>
          <w:jc w:val="center"/>
        </w:trPr>
        <w:tc>
          <w:tcPr>
            <w:tcW w:w="1486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464C2E02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分值</w:t>
            </w:r>
          </w:p>
        </w:tc>
        <w:tc>
          <w:tcPr>
            <w:tcW w:w="7417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7ED99CA9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评分依据</w:t>
            </w:r>
          </w:p>
        </w:tc>
      </w:tr>
      <w:tr w14:paraId="1EB0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15" w:type="dxa"/>
          <w:jc w:val="center"/>
        </w:trPr>
        <w:tc>
          <w:tcPr>
            <w:tcW w:w="1486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5FC51B02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10</w:t>
            </w:r>
            <w:r>
              <w:rPr>
                <w:rFonts w:ascii="楷体_GB2312" w:eastAsia="楷体_GB2312" w:cs="楷体_GB2312"/>
                <w:sz w:val="25"/>
                <w:szCs w:val="25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12</w:t>
            </w:r>
            <w:r>
              <w:rPr>
                <w:rFonts w:hint="default" w:ascii="楷体_GB2312" w:eastAsia="楷体_GB2312" w:cs="楷体_GB2312"/>
                <w:sz w:val="25"/>
                <w:szCs w:val="25"/>
                <w:bdr w:val="none" w:color="auto" w:sz="0" w:space="0"/>
              </w:rPr>
              <w:t>分</w:t>
            </w:r>
          </w:p>
        </w:tc>
        <w:tc>
          <w:tcPr>
            <w:tcW w:w="7417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64E3F79B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①“标准”和主题相对应。</w:t>
            </w:r>
          </w:p>
          <w:p w14:paraId="325F4F03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②能够运用唯物史观充分阐释。</w:t>
            </w:r>
          </w:p>
          <w:p w14:paraId="3EEC4AAF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③史料详尽，史实准确。</w:t>
            </w:r>
          </w:p>
          <w:p w14:paraId="63D321BB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④表达清晰，符合逻辑。</w:t>
            </w:r>
          </w:p>
        </w:tc>
      </w:tr>
      <w:tr w14:paraId="799D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486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64114F18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6</w:t>
            </w:r>
            <w:r>
              <w:rPr>
                <w:rFonts w:hint="default" w:ascii="楷体_GB2312" w:eastAsia="楷体_GB2312" w:cs="楷体_GB2312"/>
                <w:sz w:val="25"/>
                <w:szCs w:val="25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9</w:t>
            </w:r>
            <w:r>
              <w:rPr>
                <w:rFonts w:hint="default" w:ascii="楷体_GB2312" w:eastAsia="楷体_GB2312" w:cs="楷体_GB2312"/>
                <w:sz w:val="25"/>
                <w:szCs w:val="25"/>
                <w:bdr w:val="none" w:color="auto" w:sz="0" w:space="0"/>
              </w:rPr>
              <w:t>分</w:t>
            </w:r>
          </w:p>
        </w:tc>
        <w:tc>
          <w:tcPr>
            <w:tcW w:w="7417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644C24B6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①“标准”和主题相对应。</w:t>
            </w:r>
          </w:p>
          <w:p w14:paraId="53E87DB5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②符合唯物史观，有一定的认识。</w:t>
            </w:r>
          </w:p>
          <w:p w14:paraId="25D11443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③史料较详尽，史实准确。</w:t>
            </w:r>
          </w:p>
          <w:p w14:paraId="5E97DA1B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④表达较清晰，符合逻辑。</w:t>
            </w:r>
          </w:p>
        </w:tc>
      </w:tr>
      <w:tr w14:paraId="6AD4C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486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357BCBFA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3</w:t>
            </w:r>
            <w:r>
              <w:rPr>
                <w:rFonts w:hint="default" w:ascii="楷体_GB2312" w:eastAsia="楷体_GB2312" w:cs="楷体_GB2312"/>
                <w:sz w:val="25"/>
                <w:szCs w:val="25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5</w:t>
            </w:r>
            <w:r>
              <w:rPr>
                <w:rFonts w:hint="default" w:ascii="楷体_GB2312" w:eastAsia="楷体_GB2312" w:cs="楷体_GB2312"/>
                <w:sz w:val="25"/>
                <w:szCs w:val="25"/>
                <w:bdr w:val="none" w:color="auto" w:sz="0" w:space="0"/>
              </w:rPr>
              <w:t>分</w:t>
            </w:r>
          </w:p>
        </w:tc>
        <w:tc>
          <w:tcPr>
            <w:tcW w:w="7417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4F8C43DD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①“标准”和主题相对应。</w:t>
            </w:r>
          </w:p>
          <w:p w14:paraId="16E7BD1C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②史实准确。</w:t>
            </w:r>
          </w:p>
          <w:p w14:paraId="0D62DF97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③表达较清晰。</w:t>
            </w:r>
          </w:p>
        </w:tc>
      </w:tr>
      <w:tr w14:paraId="70405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486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1CB5129D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0</w:t>
            </w:r>
            <w:r>
              <w:rPr>
                <w:rFonts w:hint="default" w:ascii="楷体_GB2312" w:eastAsia="楷体_GB2312" w:cs="楷体_GB2312"/>
                <w:sz w:val="25"/>
                <w:szCs w:val="25"/>
                <w:bdr w:val="none" w:color="auto" w:sz="0" w:space="0"/>
              </w:rPr>
              <w:t>—</w:t>
            </w:r>
            <w:r>
              <w:rPr>
                <w:rFonts w:hint="default" w:ascii="Times New Roman" w:hAnsi="Times New Roman" w:cs="Times New Roman"/>
                <w:sz w:val="25"/>
                <w:szCs w:val="25"/>
                <w:bdr w:val="none" w:color="auto" w:sz="0" w:space="0"/>
              </w:rPr>
              <w:t>2</w:t>
            </w:r>
            <w:r>
              <w:rPr>
                <w:rFonts w:hint="default" w:ascii="楷体_GB2312" w:eastAsia="楷体_GB2312" w:cs="楷体_GB2312"/>
                <w:sz w:val="25"/>
                <w:szCs w:val="25"/>
                <w:bdr w:val="none" w:color="auto" w:sz="0" w:space="0"/>
              </w:rPr>
              <w:t>分</w:t>
            </w:r>
          </w:p>
        </w:tc>
        <w:tc>
          <w:tcPr>
            <w:tcW w:w="7417" w:type="dxa"/>
            <w:shd w:val="clear"/>
            <w:tcMar>
              <w:top w:w="0" w:type="dxa"/>
              <w:left w:w="119" w:type="dxa"/>
              <w:bottom w:w="0" w:type="dxa"/>
              <w:right w:w="119" w:type="dxa"/>
            </w:tcMar>
            <w:vAlign w:val="center"/>
          </w:tcPr>
          <w:p w14:paraId="0EBC7C3D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①“标准”和主题相对应。</w:t>
            </w:r>
          </w:p>
          <w:p w14:paraId="61B93179">
            <w:pPr>
              <w:pStyle w:val="5"/>
              <w:keepNext w:val="0"/>
              <w:keepLines w:val="0"/>
              <w:widowControl/>
              <w:suppressLineNumbers w:val="0"/>
              <w:spacing w:before="120" w:beforeAutospacing="0" w:after="120" w:afterAutospacing="0" w:line="240" w:lineRule="auto"/>
              <w:jc w:val="both"/>
            </w:pPr>
            <w:r>
              <w:rPr>
                <w:sz w:val="25"/>
                <w:szCs w:val="25"/>
                <w:bdr w:val="none" w:color="auto" w:sz="0" w:space="0"/>
              </w:rPr>
              <w:t>②有简单的史实。</w:t>
            </w:r>
          </w:p>
        </w:tc>
      </w:tr>
    </w:tbl>
    <w:p w14:paraId="30C45C80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479BB"/>
    <w:rsid w:val="012D3BCA"/>
    <w:rsid w:val="02AB5C4A"/>
    <w:rsid w:val="07E45CD3"/>
    <w:rsid w:val="1649696C"/>
    <w:rsid w:val="1AA202E3"/>
    <w:rsid w:val="235419E0"/>
    <w:rsid w:val="2FBE71DB"/>
    <w:rsid w:val="37A95295"/>
    <w:rsid w:val="38536650"/>
    <w:rsid w:val="4CB619E6"/>
    <w:rsid w:val="503E6F6B"/>
    <w:rsid w:val="590E2436"/>
    <w:rsid w:val="61CF445A"/>
    <w:rsid w:val="63C53FB1"/>
    <w:rsid w:val="691F2E54"/>
    <w:rsid w:val="6D8C560F"/>
    <w:rsid w:val="73EB3D3E"/>
    <w:rsid w:val="75A4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tLeast"/>
      <w:jc w:val="center"/>
      <w:outlineLvl w:val="0"/>
    </w:pPr>
    <w:rPr>
      <w:rFonts w:ascii="NEU-BZ-S92" w:hAnsi="NEU-BZ-S92" w:eastAsia="宋体"/>
      <w:b/>
      <w:bCs/>
      <w:color w:val="000000"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afterLines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NEU-BZ-S92" w:hAnsi="NEU-BZ-S92" w:eastAsia="宋体"/>
      <w:b/>
      <w:color w:val="000000"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  <w:style w:type="character" w:customStyle="1" w:styleId="10">
    <w:name w:val="标题 1 Char"/>
    <w:basedOn w:val="7"/>
    <w:link w:val="2"/>
    <w:qFormat/>
    <w:uiPriority w:val="9"/>
    <w:rPr>
      <w:rFonts w:ascii="NEU-BZ-S92" w:hAnsi="NEU-BZ-S92" w:eastAsia="微软雅黑"/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2025-03-04T01:32:00Z</dcterms:created>
  <dc:creator>09ub79gws5032</dc:creator>
  <cp:lastModifiedBy>09ub79gws5032</cp:lastModifiedBy>
  <dcterms:modified xsi:type="dcterms:W3CDTF">2025-03-04T01:40:22Z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CAF89C2E86A948718687C177B0E7B021_11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