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F8EB5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2024年安徽省高考历史试题</w:t>
      </w:r>
      <w:bookmarkStart w:id="0" w:name="_GoBack"/>
      <w:bookmarkEnd w:id="0"/>
    </w:p>
    <w:p w14:paraId="700C2FD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/>
          <w:bCs/>
          <w:spacing w:val="7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pacing w:val="7"/>
          <w:kern w:val="0"/>
          <w:sz w:val="21"/>
          <w:szCs w:val="21"/>
          <w:lang w:val="en-US" w:eastAsia="zh-CN" w:bidi="ar"/>
        </w:rPr>
        <w:t>一、选择题：本题共 16 小题，每小题 3 分，共 48 分。在每小题给出的四个选项中，只有一项是符合题目要求的。</w:t>
      </w:r>
    </w:p>
    <w:p w14:paraId="4D8391A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 西周前期，青铜器高古凝重，无取巧用意，纹饰原始，颇有图腾意味；春秋中叶至战国末年，器制多轻便适用，每每以现实性的动物为附饰物，追求精巧玲珑，标新立异。这一变化说明</w:t>
      </w:r>
    </w:p>
    <w:p w14:paraId="021EB6F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A.宗法观念已经名存实亡                B.青铜铸造进入鼎盛时期</w:t>
      </w:r>
    </w:p>
    <w:p w14:paraId="7A398DB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C.青铜器的礼乐功能弱化                D.农耕工具发生显著变化</w:t>
      </w:r>
    </w:p>
    <w:p w14:paraId="22A4F08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 《晋书·陶侃传》记载，陶侃为武昌太守时“立夷市于郡东，大收其利”。《梁书·张稷传》亦载：“郁州（今属连云港市）接边陲，民俗多与魏人交市。”此类记载所反映的现象表明，这一时期</w:t>
      </w:r>
    </w:p>
    <w:p w14:paraId="19ACBDD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A.海外贸易增加财政收入              B.市镇兴起维护了时局稳定</w:t>
      </w:r>
    </w:p>
    <w:p w14:paraId="0A89EDC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C.互市交易促进民族交往                D.榷场的设立带动民间交流</w:t>
      </w:r>
    </w:p>
    <w:p w14:paraId="64D1F74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 唐朝文学家段成式《酉阳杂俎》所记植物近二百种，包括唐代传入的龙胆香、安息香、波斯枣、巴旦杏、无花果等。其子段公路《北户录》则主要记载了岭南地区的动植物，其中写道：茉莉花“本出外国，大同二年（536），始来中土，今番禺士女，多以彩缕贯花卖之”。这反映了</w:t>
      </w:r>
    </w:p>
    <w:p w14:paraId="6D6C270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A.唐朝文化兼收并蓄                    B.大唐风俗远播异域</w:t>
      </w:r>
    </w:p>
    <w:p w14:paraId="5E8A9C12"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C.市民生活悠闲雅致                    D.文学体裁多种多样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   </w:t>
      </w:r>
    </w:p>
    <w:p w14:paraId="67F2B23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4. 1311 年，朝廷遣官至江浙议海运事。尝令海船自扬子江逆流而上，至江东宁国、池、饶、建康等处运粮，然航道险阻，“粮船俱坏，岁岁有之。又湖广、江西之粮运至真州（今江苏仪征、六合一带）泊入海船，船大底小，亦非江中所宜”。于是将嘉兴、松江秋粮，及江淮、江浙财赋都总管府岁征之粮一并海运。这说明，元代</w:t>
      </w:r>
    </w:p>
    <w:p w14:paraId="5E60E09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A.江南粮食商品化程度高                B.税粮北运促进海运发展</w:t>
      </w:r>
    </w:p>
    <w:p w14:paraId="6FCC76C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C.长江流域经济趋于平衡                D.财赋重心沿江逐渐西移</w:t>
      </w:r>
    </w:p>
    <w:p w14:paraId="5C179F00">
      <w:pPr>
        <w:keepNext w:val="0"/>
        <w:keepLines w:val="0"/>
        <w:widowControl/>
        <w:suppressLineNumbers w:val="0"/>
        <w:spacing w:line="360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5. 表1明代东南地区四县役银分摊表</w:t>
      </w:r>
    </w:p>
    <w:tbl>
      <w:tblPr>
        <w:tblStyle w:val="6"/>
        <w:tblW w:w="952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3"/>
        <w:gridCol w:w="1482"/>
        <w:gridCol w:w="1640"/>
        <w:gridCol w:w="1498"/>
        <w:gridCol w:w="1340"/>
        <w:gridCol w:w="1341"/>
        <w:gridCol w:w="1341"/>
      </w:tblGrid>
      <w:tr w14:paraId="78B774B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446E36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年份</w:t>
            </w:r>
          </w:p>
        </w:tc>
        <w:tc>
          <w:tcPr>
            <w:tcW w:w="1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A75DAA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地区</w:t>
            </w:r>
          </w:p>
        </w:tc>
        <w:tc>
          <w:tcPr>
            <w:tcW w:w="15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170F0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赋役总额（两）</w:t>
            </w:r>
          </w:p>
        </w:tc>
        <w:tc>
          <w:tcPr>
            <w:tcW w:w="26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D97EBB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役银分摊前</w:t>
            </w:r>
          </w:p>
        </w:tc>
        <w:tc>
          <w:tcPr>
            <w:tcW w:w="25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565AE7F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役银分摊后</w:t>
            </w:r>
          </w:p>
        </w:tc>
      </w:tr>
      <w:tr w14:paraId="668CF97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CA92793">
            <w:pPr>
              <w:spacing w:line="360" w:lineRule="auto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C3EB6F4">
            <w:pPr>
              <w:spacing w:line="360" w:lineRule="auto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0758FEF">
            <w:pPr>
              <w:spacing w:line="360" w:lineRule="auto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B6C58D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丁银（两）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07C7704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田赋（两）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01EABE2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丁银（两）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2E76180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田赋（两）</w:t>
            </w:r>
          </w:p>
        </w:tc>
      </w:tr>
      <w:tr w14:paraId="7F203F7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2CAF5B5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1572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774139A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福建漳平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79970E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9932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37DF478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6747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245A44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3185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E589B0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2189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CC98F8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7743</w:t>
            </w:r>
          </w:p>
        </w:tc>
      </w:tr>
      <w:tr w14:paraId="59BD8C0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D1A127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1582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5203310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浙江开化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A43C96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22456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E654FB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12648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194D2DC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9808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0AA72B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3457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86EC12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18999</w:t>
            </w:r>
          </w:p>
        </w:tc>
      </w:tr>
      <w:tr w14:paraId="4D971B4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0719A7C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1585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E10000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广东顺德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DC0294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34580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00A547C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16628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14D9A56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17952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87A87A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5304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2042514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29276</w:t>
            </w:r>
          </w:p>
        </w:tc>
      </w:tr>
      <w:tr w14:paraId="4B8FDA8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5FBC5C2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1621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127286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南直隶歙县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E76E1A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48609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39881E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23669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5AF9B3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24940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FC891F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7657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7B6F735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40952</w:t>
            </w:r>
          </w:p>
        </w:tc>
      </w:tr>
    </w:tbl>
    <w:p w14:paraId="47890C4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据表1 可知，役银分摊的做法</w:t>
      </w:r>
    </w:p>
    <w:p w14:paraId="30AF61C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A.增加了人丁税额                      B.有利于人口的增长</w:t>
      </w:r>
    </w:p>
    <w:p w14:paraId="0B44E9EB"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C.制约了商业发展                      D.强化人身依附关系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   </w:t>
      </w:r>
    </w:p>
    <w:p w14:paraId="119B563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6. 1899年，《万国公报》称：广学会翻译的《泰西新史揽要》《中东战纪本末》《时事新论》《列国变通兴盛记》等，“初印时，人鲜顾问，往往随处分赠，继而渐有乐购者，近三年来，几于四海风行”。这一现象表明</w:t>
      </w:r>
    </w:p>
    <w:p w14:paraId="26F8DAF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A.“师夷之长技”成为时代潮流          B.民众普遍认同西方资产阶级革命思想</w:t>
      </w:r>
    </w:p>
    <w:p w14:paraId="27E551B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C.“戊戌政变”促进了新学传播          D.有识之士借鉴异邦兴衰探索救亡道路</w:t>
      </w:r>
    </w:p>
    <w:p w14:paraId="5C3CF71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7.1921 年4 月，《新青年》刊文指出，虽然马克思、恩格斯“是近世科学的社会主义之始祖”，有许多独具慧眼的见解，但“我们对于古人的学说，当参照现在的情形，加以考虑，断不可一昧盲从，做出那‘孔趋亦趋，孔步亦步’的样子”。由此可见，当时知识界已关注到</w:t>
      </w:r>
    </w:p>
    <w:p w14:paraId="0FD89DF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A.革命理论传播的广泛性                B.儒家传统文化的包容性</w:t>
      </w:r>
    </w:p>
    <w:p w14:paraId="75A1735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C.民主主义革命的阶段性                D.社会主义学说的实践性</w:t>
      </w:r>
    </w:p>
    <w:p w14:paraId="34A7CB6B">
      <w:pPr>
        <w:keepNext w:val="0"/>
        <w:keepLines w:val="0"/>
        <w:widowControl/>
        <w:suppressLineNumbers w:val="0"/>
        <w:spacing w:line="360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8. 图1所示为 1956 年4月上海市寿成区人民政府签发的恢复结婚证，印有“互爱互敬和睦团结，同心协力劳动生产”字样。这可用以说明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 </w:t>
      </w:r>
    </w:p>
    <w:p w14:paraId="3E50D1E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center"/>
        <w:rPr>
          <w:sz w:val="21"/>
          <w:szCs w:val="21"/>
        </w:rPr>
      </w:pPr>
      <w:r>
        <w:drawing>
          <wp:inline distT="0" distB="0" distL="114300" distR="114300">
            <wp:extent cx="2342515" cy="1899920"/>
            <wp:effectExtent l="0" t="0" r="63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2515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BF56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A.人民政府倡导新风尚                     B.传统婚姻制度亟待改变</w:t>
      </w:r>
    </w:p>
    <w:p w14:paraId="1EF9FC3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C.生产方式发生了变革                  D.经济互助稳定婚姻关系</w:t>
      </w:r>
    </w:p>
    <w:p w14:paraId="5970FFE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9. 1986 年6月17日《光明日报》报道：湖南某国企—副总工程师，因工作不顺不辞而别，欲入职以高薪相邀的江苏某乡镇企业；在经历诸多波折后，他最终被湖北某偏远山区县委书记“用事业吸引人，用工作挽留人，用诚意感动人”的做法打动而入职当地企业。这体现出</w:t>
      </w:r>
    </w:p>
    <w:p w14:paraId="50D46C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A.国有企业改革取得显著成效            B.私有制经济有效补充公有制经济</w:t>
      </w:r>
    </w:p>
    <w:p w14:paraId="4BBAB22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C.改革开放缩小城乡经济差距            D.经济体制改革拓宽人才流动空间</w:t>
      </w:r>
    </w:p>
    <w:p w14:paraId="50AEFFC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10.古代埃及王表通常是指按照年代次序罗列统治者形象、名字和头衔的文献。约公元前3200 年至公元前 3000 年之间，王表中的大量王名写于王名框中，王名框上一般刻画有代表荷鲁斯神的鹰隼形象。新王国（前 1550～前 1069）时期，王表形制臻于成熟。据此可知，古代埃及王表</w:t>
      </w:r>
    </w:p>
    <w:p w14:paraId="2E7CA78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A.说明了象形文字的缘起                B.融合了宗教与王权的观念</w:t>
      </w:r>
    </w:p>
    <w:p w14:paraId="16D3DD5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C.呈现了埃及神庙的兴衰                D.展示了分裂与统一的场景</w:t>
      </w:r>
    </w:p>
    <w:p w14:paraId="5C21B17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11.中古时期，一部取材于查理大帝远征西班牙史实的文学作品写道：“我的宝剑啊，你何其不幸！虽则我要死了，但仍旧不舍你！靠了你，我踏过多少山野，靠了你，我赢得了多少战争，靠了你，我征服了无数土地，由白发的查理统治到今朝。”这一表述旨在</w:t>
      </w:r>
    </w:p>
    <w:p w14:paraId="1456D09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A.揭示战争真相                        B.抒发乡土情怀</w:t>
      </w:r>
    </w:p>
    <w:p w14:paraId="63373D8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C.传播神话故事                        D.歌颂骑士英雄</w:t>
      </w:r>
    </w:p>
    <w:p w14:paraId="2B6B194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12.意大利政治哲学家马基雅维利（1469-1527）曾撰写《君主论》献给佛罗伦萨的统治者，认为荣誉是君主建功立业的目的；后来又著有《论李维》，主张通过共和制恢复和维护人的自由。由此可见，马基雅维利</w:t>
      </w:r>
    </w:p>
    <w:p w14:paraId="01915BD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A.试图构建未来理性王国蓝图            B.注重比较君主制与共和制异同</w:t>
      </w:r>
    </w:p>
    <w:p w14:paraId="0C0D8E4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C.表达了基于人性的思想主张            D.描绘了欧洲地区二元政治格局</w:t>
      </w:r>
    </w:p>
    <w:p w14:paraId="39DACCD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13.在近代历史上，西方一些国家往往有这样的做法：在海外地区的海图和地图上“先傲慢地描绘一个地区，并强加上一个欧洲来源的名字，然后就等同于宣示了对其之所有权”。这一做法</w:t>
      </w:r>
    </w:p>
    <w:p w14:paraId="5DB4845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A.避免了列强之间的纷争                B.缓和了与殖民地之间的矛盾</w:t>
      </w:r>
    </w:p>
    <w:p w14:paraId="4A1C8979"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C.体现了霸权主义的本质                D.确立了“有效占领”的原则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</w:t>
      </w:r>
    </w:p>
    <w:p w14:paraId="779797E4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14. 18 世纪末，东方的茶叶和西印度群岛种植园里的糖，成为英国人日常饮食的一部分。茶叶为英国人的生活增添了诸多雅趣，他们将糖与牛奶加入红茶中，别具匠心地调制成英式红茶。这表明</w:t>
      </w:r>
    </w:p>
    <w:p w14:paraId="08EDFCC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A.全球联系的加强影响社会文化          B.亚非拉地区成为欧洲经济附庸</w:t>
      </w:r>
    </w:p>
    <w:p w14:paraId="2D64030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C.商品的流动加速资本原始积累          D.工业革命加剧了社会阶层分化</w:t>
      </w:r>
    </w:p>
    <w:p w14:paraId="15967A1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15.20 世纪初，德意志制造同盟成立。该同盟通过与艺术家、设计师及制造企业间的合作，探索出德国制造的独特工艺技巧，在短时间内实现了提升德国工业品质量的目标，增强了德国工业在海外的扩张实力。这说明，当时</w:t>
      </w:r>
    </w:p>
    <w:p w14:paraId="1649202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A.欧洲工业制造流行德国工艺            B.德国的文化创新助力工业发展</w:t>
      </w:r>
    </w:p>
    <w:p w14:paraId="1C5821E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C.德国国际地位依赖工业设计            D.欧洲强权博弈以文化竞争为主</w:t>
      </w:r>
    </w:p>
    <w:p w14:paraId="44EE2F0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16. 20 世纪 80 年代，法国七位史学家推出了《法国当代史：身份与变化，从 1789 年至今》。该著作共有七个专题：导言，法国资本主义发展道路，法国人口问题的特殊性，1789 年至 1980 年的法国农民，工人阶级的增长，法国国家、政权与民主，政党、政见与思潮。这可用以说明，当时法国史学家</w:t>
      </w:r>
    </w:p>
    <w:p w14:paraId="797D367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A.以编年体的形式叙述宏大历史          B.阐释历史运用了马克思主义的概念</w:t>
      </w:r>
    </w:p>
    <w:p w14:paraId="497DA35F"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C.已摆脱冷战思维对史学的影响          D.基于历史唯物主义撰写了法国通史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   </w:t>
      </w:r>
    </w:p>
    <w:p w14:paraId="027111FA">
      <w:pPr>
        <w:spacing w:line="360" w:lineRule="auto"/>
        <w:ind w:left="525" w:hanging="602" w:hangingChars="250"/>
        <w:rPr>
          <w:rFonts w:ascii="Times New Roman" w:hAnsi="Times New Roman" w:eastAsia="黑体" w:cs="Times New Roman"/>
          <w:b/>
          <w:bCs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二、非选择题：本题共3小题，共52分。</w:t>
      </w:r>
    </w:p>
    <w:p w14:paraId="6083E2B0">
      <w:pPr>
        <w:widowControl w:val="0"/>
        <w:spacing w:line="360" w:lineRule="auto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17．阅读材料，完成下列要求。（25分）</w:t>
      </w:r>
    </w:p>
    <w:p w14:paraId="3E9C616A">
      <w:pPr>
        <w:widowControl w:val="0"/>
        <w:spacing w:line="360" w:lineRule="auto"/>
        <w:jc w:val="both"/>
        <w:rPr>
          <w:rFonts w:ascii="黑体" w:hAnsi="黑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材料一</w:t>
      </w:r>
    </w:p>
    <w:p w14:paraId="37FC9612">
      <w:pPr>
        <w:spacing w:line="360" w:lineRule="auto"/>
        <w:jc w:val="center"/>
        <w:rPr>
          <w:rFonts w:ascii="楷体_GB2312" w:hAnsi="Times New Roman" w:eastAsia="楷体_GB2312" w:cs="Times New Roman"/>
          <w:szCs w:val="21"/>
        </w:rPr>
      </w:pPr>
      <w:r>
        <w:rPr>
          <w:rFonts w:ascii="Times New Roman" w:hAnsi="Times New Roman" w:eastAsia="宋体" w:cs="Times New Roman"/>
          <w:szCs w:val="20"/>
        </w:rPr>
        <w:drawing>
          <wp:inline distT="0" distB="0" distL="0" distR="0">
            <wp:extent cx="3048000" cy="3238500"/>
            <wp:effectExtent l="0" t="0" r="0" b="0"/>
            <wp:docPr id="512786411" name="图片 1" descr="中学历史教学园地（www.zxls.com）——全国文章总量、访问量最大的历史教学网站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786411" name="图片 1" descr="中学历史教学园地（www.zxls.com）——全国文章总量、访问量最大的历史教学网站。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157" cy="3238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1F36E">
      <w:pPr>
        <w:spacing w:line="360" w:lineRule="auto"/>
        <w:jc w:val="center"/>
        <w:rPr>
          <w:rFonts w:ascii="楷体_GB2312" w:hAnsi="Times New Roman" w:eastAsia="楷体_GB2312" w:cs="Times New Roman"/>
          <w:szCs w:val="21"/>
        </w:rPr>
      </w:pPr>
      <w:r>
        <w:rPr>
          <w:rFonts w:hint="eastAsia" w:ascii="楷体_GB2312" w:hAnsi="Times New Roman" w:eastAsia="楷体_GB2312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楷体_GB2312" w:hAnsi="Times New Roman" w:eastAsia="楷体_GB2312" w:cs="Times New Roman"/>
          <w:szCs w:val="21"/>
        </w:rPr>
        <w:t xml:space="preserve"> 秦汉时期西南部族分布示意图（局部）</w:t>
      </w:r>
    </w:p>
    <w:p w14:paraId="32F48739">
      <w:pPr>
        <w:widowControl w:val="0"/>
        <w:spacing w:line="36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——摘编自韩茂莉《中国历史地理十五讲》</w:t>
      </w:r>
    </w:p>
    <w:p w14:paraId="69F45B63">
      <w:pPr>
        <w:widowControl w:val="0"/>
        <w:spacing w:line="360" w:lineRule="auto"/>
        <w:jc w:val="both"/>
        <w:rPr>
          <w:rFonts w:ascii="黑体" w:hAnsi="黑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材料二</w:t>
      </w:r>
    </w:p>
    <w:p w14:paraId="5E62E251">
      <w:pPr>
        <w:widowControl w:val="0"/>
        <w:spacing w:line="36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全面抗战爆发后，国民政府加强了以重庆为中心的公路交通建设，修筑了川滇东路、川滇西路、川中公路、川康公路和从重庆到汉中的汉渝公路。1938年10月，广州、武汉相继沦陷后，国民政府规划建设西南地区公路网，旨在联通湘、粤、桂、川、贵、滇各省，至1941年底，新修筑公路累计达5000余公里。国际交通方面，在西南修建桂越、滇越、滇缅、中印等交通线路。</w:t>
      </w:r>
    </w:p>
    <w:p w14:paraId="12913936">
      <w:pPr>
        <w:widowControl w:val="0"/>
        <w:spacing w:line="36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——摘编自步平、王建朗主编《中国抗日战争史》等</w:t>
      </w:r>
    </w:p>
    <w:p w14:paraId="684C82CA">
      <w:pPr>
        <w:widowControl w:val="0"/>
        <w:spacing w:line="360" w:lineRule="auto"/>
        <w:jc w:val="both"/>
        <w:rPr>
          <w:rFonts w:ascii="黑体" w:hAnsi="黑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材料三</w:t>
      </w:r>
    </w:p>
    <w:p w14:paraId="5A4265BC">
      <w:pPr>
        <w:widowControl w:val="0"/>
        <w:spacing w:line="36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中华人民共和国成立后，党和国家把发展民族地区公路、铁路、航空等交通运输业摆在十分突出的位置。譬如，在公路建设方面，经过几年艰苦的修筑，世界闻名的康（川）藏公路和青藏公路于1954年12月同时通车，“所有这些，都是西藏破天荒的大好事”。</w:t>
      </w:r>
    </w:p>
    <w:p w14:paraId="4045BBC8">
      <w:pPr>
        <w:widowControl w:val="0"/>
        <w:spacing w:line="36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——摘编自瞿晓琳《新中国成立以来中国共产党领导的民族地区民生建设研究》</w:t>
      </w:r>
    </w:p>
    <w:p w14:paraId="4BF0D393">
      <w:pPr>
        <w:widowControl w:val="0"/>
        <w:spacing w:line="36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（1）结合所学知识，概括材料一所反映的秦汉时期加强西南地区治理的措施。（6分）</w:t>
      </w:r>
    </w:p>
    <w:p w14:paraId="7EC21025">
      <w:pPr>
        <w:widowControl w:val="0"/>
        <w:spacing w:line="36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（2）根据材料二并结合所学知识，分析抗日战争时期西南地区公路建设的特点及其作用。（11分）</w:t>
      </w:r>
    </w:p>
    <w:p w14:paraId="75F268AE">
      <w:pPr>
        <w:widowControl w:val="0"/>
        <w:spacing w:line="36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（3）根据材料三并结合所学知识，简述中华人民共和国成立初加强西南地区公路建设的意义。结合材料一、二、三，说明交通建设与国家治理的关系。（8分）</w:t>
      </w:r>
    </w:p>
    <w:p w14:paraId="72208232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 w14:paraId="7D6E8477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 w14:paraId="505A3AF7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 w14:paraId="6BC12B58">
      <w:pPr>
        <w:widowControl w:val="0"/>
        <w:spacing w:line="360" w:lineRule="auto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18．阅读材料，完成下列要求。（15分）</w:t>
      </w:r>
    </w:p>
    <w:p w14:paraId="6CA8BAF0">
      <w:pPr>
        <w:widowControl w:val="0"/>
        <w:spacing w:line="360" w:lineRule="auto"/>
        <w:jc w:val="both"/>
        <w:rPr>
          <w:rFonts w:ascii="黑体" w:hAnsi="黑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材料</w:t>
      </w:r>
    </w:p>
    <w:p w14:paraId="20187FA7">
      <w:pPr>
        <w:widowControl w:val="0"/>
        <w:spacing w:line="36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自20世纪70年代至欧元诞生之前，欧洲货币危机频发，美元汇率波动对欧洲货币存在着单向冲击。对外战争和国际金融危机等削弱了美国的综合实力，美国占世界经济的比重不断降低。美元在国际金融体系中的地位开始下降，在全球外汇储备中，美元比重从1999年的72.7%下降到2008年的64%，而欧元则由16.7%上升到25.6%，国际货币体系进入“美元—欧元双主导货币”的状态。在双主导条件下，其中任何一个主导货币滥发都会引起另一个大货币跟随，然后波及所有中小货币。美国和欧洲相继爆发的金融危机和债务危机，使得这两个主导货币比任何时候都有借口实行量化宽松政策，而其他各国不得不接受它们造成的任何后果。一些国家无法忍受旧秩序的约束甚至损害，凭上升的经济实力维护自己的利益。</w:t>
      </w:r>
    </w:p>
    <w:p w14:paraId="66E5E3E3">
      <w:pPr>
        <w:widowControl w:val="0"/>
        <w:spacing w:line="36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——摘编自成思危，刘骏民《国际货币体系的演变逻辑》等</w:t>
      </w:r>
    </w:p>
    <w:p w14:paraId="50EFBA15">
      <w:pPr>
        <w:widowControl w:val="0"/>
        <w:spacing w:line="36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（1）根据材料并结合所学知识，说明二战后国际货币体系演变的特点。（9分）</w:t>
      </w:r>
    </w:p>
    <w:p w14:paraId="33C38ED4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（2）根据材料并结合所学知识，简述评价国际货币体系应该持有的标准。（6分）</w:t>
      </w:r>
    </w:p>
    <w:p w14:paraId="2BCD17D7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 w14:paraId="61747458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 w14:paraId="39FE877A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 w14:paraId="16AA61D7">
      <w:pPr>
        <w:widowControl w:val="0"/>
        <w:spacing w:line="360" w:lineRule="auto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19．阅读材料，完成下列要求。（12分）</w:t>
      </w:r>
    </w:p>
    <w:p w14:paraId="21783EC3">
      <w:pPr>
        <w:widowControl w:val="0"/>
        <w:spacing w:line="360" w:lineRule="auto"/>
        <w:jc w:val="both"/>
        <w:rPr>
          <w:rFonts w:ascii="黑体" w:hAnsi="黑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材料</w:t>
      </w:r>
    </w:p>
    <w:p w14:paraId="1D0C8786">
      <w:pPr>
        <w:widowControl w:val="0"/>
        <w:spacing w:line="36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宋仁宗嘉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en-US" w:eastAsia="zh-CN" w:bidi="ar-SA"/>
        </w:rPr>
        <w:t>祐</w:t>
      </w: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四年（1059），田子茂出生于山西忻州一普通农家，幼“颍异于群儿”“稍长则便能武事”。神宗元年年间（1078</w:t>
      </w: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～</w:t>
      </w: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1085），先为保甲体制下的保丁，后赴京应试，“天子临轩试之，中第一”，得以“补三班差使”。哲宗绍圣二年（1095）前后，先后担任泾源路第四将队将、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en-US" w:eastAsia="zh-CN" w:bidi="ar-SA"/>
        </w:rPr>
        <w:t>鄌</w:t>
      </w: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延路经略司准备差使等职。徽宗建中靖国元年（1101）因受改革派吕惠卿之案牵连，一度入狱，后无罪释放，被任命为“绥德军暖泉寒主”。徽宗崇宁四年（1105），在宋军收复银州（今陕西榆林南）战事中立有军功。徽宗政和四年（1114）去世，享年56岁。</w:t>
      </w:r>
    </w:p>
    <w:p w14:paraId="2FB28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田子茂的生平是宋代某些历史场景的再现。从材料中提取历史信息，运用所学中国古代史知识，任选角度，自拟论题，加以阐释。（要求：论题明确，观点正确，史论结合，表述清晰）</w:t>
      </w:r>
    </w:p>
    <w:p w14:paraId="7E2B311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E7974"/>
    <w:rsid w:val="012D3BCA"/>
    <w:rsid w:val="02AB5C4A"/>
    <w:rsid w:val="07E45CD3"/>
    <w:rsid w:val="1649696C"/>
    <w:rsid w:val="1AA202E3"/>
    <w:rsid w:val="235419E0"/>
    <w:rsid w:val="2FBE71DB"/>
    <w:rsid w:val="37A95295"/>
    <w:rsid w:val="38536650"/>
    <w:rsid w:val="4CB619E6"/>
    <w:rsid w:val="503E6F6B"/>
    <w:rsid w:val="590E2436"/>
    <w:rsid w:val="61CF445A"/>
    <w:rsid w:val="629E7974"/>
    <w:rsid w:val="63C53FB1"/>
    <w:rsid w:val="691F2E54"/>
    <w:rsid w:val="6D8C560F"/>
    <w:rsid w:val="73EB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tLeast"/>
      <w:jc w:val="center"/>
      <w:outlineLvl w:val="0"/>
    </w:pPr>
    <w:rPr>
      <w:rFonts w:ascii="NEU-BZ-S92" w:hAnsi="NEU-BZ-S92" w:eastAsia="宋体"/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afterLines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NEU-BZ-S92" w:hAnsi="NEU-BZ-S92" w:eastAsia="宋体"/>
      <w:b/>
      <w:color w:val="000000"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uiPriority w:val="0"/>
    <w:pPr>
      <w:widowControl w:val="0"/>
      <w:spacing w:before="0" w:beforeAutospacing="1" w:after="0" w:afterAutospacing="1"/>
      <w:ind w:left="0" w:right="0"/>
      <w:jc w:val="left"/>
    </w:pPr>
    <w:rPr>
      <w:rFonts w:eastAsia="黑体" w:asciiTheme="minorAscii" w:hAnsiTheme="minorAscii" w:cstheme="minorBidi"/>
      <w:kern w:val="0"/>
      <w:sz w:val="24"/>
      <w:szCs w:val="22"/>
      <w:lang w:val="en-US" w:eastAsia="zh-CN" w:bidi="ar"/>
    </w:rPr>
  </w:style>
  <w:style w:type="paragraph" w:customStyle="1" w:styleId="8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  <w:style w:type="character" w:customStyle="1" w:styleId="9">
    <w:name w:val="标题 1 Char"/>
    <w:basedOn w:val="7"/>
    <w:link w:val="2"/>
    <w:qFormat/>
    <w:uiPriority w:val="9"/>
    <w:rPr>
      <w:rFonts w:ascii="NEU-BZ-S92" w:hAnsi="NEU-BZ-S92" w:eastAsia="微软雅黑"/>
      <w:b/>
      <w:bCs/>
      <w:color w:val="000000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hyperlink" Target="http://www.zxls.com/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2025-03-04T01:01:00Z</dcterms:created>
  <dc:creator>09ub79gws5032</dc:creator>
  <cp:lastModifiedBy>09ub79gws5032</cp:lastModifiedBy>
  <dcterms:modified xsi:type="dcterms:W3CDTF">2025-03-04T01:03:48Z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D12ADE34FA2D4DA1A4117105CD55EA37_11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