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2F" w:rsidRDefault="000054AF"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bookmarkStart w:id="0" w:name="_GoBack"/>
      <w:bookmarkEnd w:id="0"/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10655300</wp:posOffset>
            </wp:positionH>
            <wp:positionV relativeFrom="topMargin">
              <wp:posOffset>12407900</wp:posOffset>
            </wp:positionV>
            <wp:extent cx="279400" cy="4699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758003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2022</w:t>
      </w:r>
      <w:r>
        <w:rPr>
          <w:rFonts w:ascii="宋体" w:hAnsi="宋体"/>
          <w:b/>
          <w:sz w:val="32"/>
        </w:rPr>
        <w:t>年全国乙卷文综历史试题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据下图可知，商、西周青铜器铸造的繁荣（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E1012F" w:rsidRDefault="00FC5860">
      <w:pPr>
        <w:spacing w:line="360" w:lineRule="auto"/>
        <w:jc w:val="left"/>
        <w:textAlignment w:val="center"/>
      </w:pPr>
      <w:r w:rsidRPr="00BE1BCD">
        <w:rPr>
          <w:rFonts w:hint="eastAsia"/>
          <w:noProof/>
        </w:rPr>
        <w:drawing>
          <wp:inline distT="0" distB="0" distL="0" distR="0">
            <wp:extent cx="3629025" cy="28479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25215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>
        <w:rPr>
          <w:rFonts w:hint="eastAsia"/>
        </w:rPr>
        <w:br/>
      </w:r>
    </w:p>
    <w:p w:rsidR="00E1012F" w:rsidRDefault="00FC5860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 w:rsidRPr="00BE1BCD">
        <w:rPr>
          <w:rFonts w:hint="eastAsia"/>
        </w:rPr>
        <w:t xml:space="preserve">A. </w:t>
      </w:r>
      <w:r w:rsidR="000054AF">
        <w:rPr>
          <w:rFonts w:ascii="宋体" w:hAnsi="宋体"/>
        </w:rPr>
        <w:t>推动了南北农业经济进步</w:t>
      </w:r>
      <w:r w:rsidRPr="00BE1BCD">
        <w:rPr>
          <w:rFonts w:hint="eastAsia"/>
        </w:rPr>
        <w:tab/>
        <w:t xml:space="preserve">B. </w:t>
      </w:r>
      <w:r w:rsidR="000054AF">
        <w:rPr>
          <w:rFonts w:ascii="宋体" w:hAnsi="宋体"/>
        </w:rPr>
        <w:t>依赖大规模商业活动开展</w:t>
      </w:r>
    </w:p>
    <w:p w:rsidR="00E1012F" w:rsidRDefault="00FC5860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BE1BCD">
        <w:rPr>
          <w:rFonts w:hint="eastAsia"/>
        </w:rPr>
        <w:t xml:space="preserve">C. </w:t>
      </w:r>
      <w:r w:rsidR="000054AF">
        <w:rPr>
          <w:rFonts w:ascii="宋体" w:hAnsi="宋体"/>
        </w:rPr>
        <w:t>反映了南北方联系的加强</w:t>
      </w:r>
      <w:r w:rsidRPr="00BE1BCD">
        <w:rPr>
          <w:rFonts w:hint="eastAsia"/>
        </w:rPr>
        <w:tab/>
        <w:t xml:space="preserve">D. </w:t>
      </w:r>
      <w:r w:rsidR="000054AF">
        <w:rPr>
          <w:rFonts w:ascii="宋体" w:hAnsi="宋体"/>
        </w:rPr>
        <w:t>缘于统治区域扩大到江南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盛唐洋溢着刚健丰伟、庄重博大的时代气象，这在书法艺术上亦有体现。宋代书法家米芾推崇唐代某位书法家的作品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如项羽挂甲，樊哙排突，硬弩欲张，铁柱将立，昂然有不可犯之色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。能够突出体现这一风格的书体是（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小篆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楷书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行书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草书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宋朝在州府设通判，重要州府设两名，民户少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2887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州可以不置，但若武官任知州，则必置。通判有自己专属的衙门通判厅，与知州（府）共议政务、同署文书，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有军旅之事，则专任钱粮之责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。据此可知，设置通判的主要目的是（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规范地方行政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防止武人干政</w:t>
      </w:r>
      <w:r>
        <w:rPr>
          <w:rFonts w:ascii="宋体" w:hAnsi="宋体"/>
          <w:color w:val="000000"/>
        </w:rPr>
        <w:tab/>
        <w:t xml:space="preserve">C. </w:t>
      </w:r>
      <w:r>
        <w:rPr>
          <w:rFonts w:ascii="宋体" w:hAnsi="宋体"/>
          <w:color w:val="000000"/>
        </w:rPr>
        <w:t>提升军事能力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削弱州府权力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明后期有士人称，江南流行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好名喜夸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之风，家中但凡有千金之产，必定会营建一园，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近聚土壤，远延木石，聊以矜眩于一时耳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俗气扑人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。这可用于说明（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士大夫传统观念的颠覆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世俗化审美趣味的</w:t>
      </w:r>
      <w:r>
        <w:rPr>
          <w:rFonts w:ascii="宋体" w:hAnsi="宋体"/>
          <w:color w:val="000000"/>
        </w:rPr>
        <w:t>初现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士农工商社会结构解体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江南市镇工商业的繁荣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维新变法期间，湖南巡抚陈宝箴推行变法改革，但在上《请厘正学术造就人才折》中称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康有为平日所著《孔子改制考》一书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其徒和之，持之愈坚，失之愈远，嚣然自命，号为</w:t>
      </w:r>
      <w:r>
        <w:rPr>
          <w:rFonts w:ascii="宋体" w:hAnsi="宋体"/>
          <w:color w:val="000000"/>
        </w:rPr>
        <w:t>‘</w:t>
      </w:r>
      <w:r>
        <w:rPr>
          <w:rFonts w:ascii="宋体" w:hAnsi="宋体"/>
          <w:color w:val="000000"/>
        </w:rPr>
        <w:t>康学</w:t>
      </w:r>
      <w:r>
        <w:rPr>
          <w:rFonts w:ascii="宋体" w:hAnsi="宋体"/>
          <w:color w:val="000000"/>
        </w:rPr>
        <w:t>’</w:t>
      </w:r>
      <w:r>
        <w:rPr>
          <w:rFonts w:ascii="宋体" w:hAnsi="宋体"/>
          <w:color w:val="000000"/>
        </w:rPr>
        <w:t>，而民权平等之说炽矣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，并奏请销毁《孔子改制考》。这种主张（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推动了新旧势力的合流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试图突破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中体西用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束缚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有助于减少变法的阻力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意在彻底否定变法理论基础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据某位学者回忆，</w:t>
      </w:r>
      <w:r>
        <w:rPr>
          <w:rFonts w:ascii="宋体" w:hAnsi="宋体"/>
          <w:color w:val="000000"/>
        </w:rPr>
        <w:t>“‘</w:t>
      </w:r>
      <w:r>
        <w:rPr>
          <w:rFonts w:ascii="宋体" w:hAnsi="宋体"/>
          <w:color w:val="000000"/>
        </w:rPr>
        <w:t>五四</w:t>
      </w:r>
      <w:r>
        <w:rPr>
          <w:rFonts w:ascii="宋体" w:hAnsi="宋体"/>
          <w:color w:val="000000"/>
        </w:rPr>
        <w:t>’</w:t>
      </w:r>
      <w:r>
        <w:rPr>
          <w:rFonts w:ascii="宋体" w:hAnsi="宋体"/>
          <w:color w:val="000000"/>
        </w:rPr>
        <w:t>初期，一般人多以新旧分别事物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，中国古来已有的一概称为旧，古来未</w:t>
      </w:r>
      <w:r>
        <w:rPr>
          <w:rFonts w:ascii="宋体" w:hAnsi="宋体"/>
          <w:color w:val="000000"/>
        </w:rPr>
        <w:lastRenderedPageBreak/>
        <w:t>有或来自外国的一概称为新；不久，有了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更高的判别的准绳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对于古今、中外能够排好恰当的关系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，并不一概否定或肯定。这一转变反映出（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东西方文化论争由此引发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传统儒学思想开始受到批判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全盘西化的思想得以消除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思想解放运动方向发生变化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30</w:t>
      </w:r>
      <w:r>
        <w:rPr>
          <w:rFonts w:ascii="宋体" w:hAnsi="宋体"/>
          <w:color w:val="000000"/>
        </w:rPr>
        <w:t>年代，中共中央决定将苏维埃工农共和国改变为苏维埃人民共和国，政策调整为：给一切革命的小资产阶级及其知识分子以选举权和被选举权，停止没收富农</w:t>
      </w:r>
      <w:r>
        <w:rPr>
          <w:rFonts w:ascii="宋体" w:hAnsi="宋体"/>
          <w:color w:val="000000"/>
        </w:rPr>
        <w:t>的土地及财产，允许有产阶级代表参加苏区政权管理工作，等等。上述调整（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适应建立抗日民族统一战线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165999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需要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是为武装反抗国民党进行社会动员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表明党的中心工作以夺取城市为目标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为建立民主联合政府争取广泛的支持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下图是</w:t>
      </w:r>
      <w:r>
        <w:rPr>
          <w:rFonts w:ascii="宋体" w:hAnsi="宋体"/>
          <w:color w:val="000000"/>
        </w:rPr>
        <w:t>1978</w:t>
      </w:r>
      <w:r>
        <w:rPr>
          <w:rFonts w:ascii="宋体" w:hAnsi="宋体"/>
          <w:color w:val="000000"/>
        </w:rPr>
        <w:t>年与</w:t>
      </w:r>
      <w:r>
        <w:rPr>
          <w:rFonts w:ascii="宋体" w:hAnsi="宋体"/>
          <w:color w:val="000000"/>
        </w:rPr>
        <w:t>1986</w:t>
      </w:r>
      <w:r>
        <w:rPr>
          <w:rFonts w:ascii="宋体" w:hAnsi="宋体"/>
          <w:color w:val="000000"/>
        </w:rPr>
        <w:t>年北京郊区男户主职业占比变化情况。这一变化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066421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产生主要是由于（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/>
          <w:noProof/>
          <w:color w:val="000000"/>
        </w:rPr>
        <w:drawing>
          <wp:inline distT="0" distB="0" distL="0" distR="0">
            <wp:extent cx="3676650" cy="16002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917475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br/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城市经济体制改革开始酝酿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农村经济体制改革深化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城乡之间的差异呈缩小趋势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城市产业结构日益完善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据学者研究，古代雅典官员在接受任职资格审查时，需要回答：直系亲属姓名及男性亲属所在村社名称、崇拜的神祇及其圣所所在地、墓葬方位、是否善待双亲、是否纳税、是否服兵役等。下列属于成为古代雅典官员前提条件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军事才能、宗教信仰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道德品质、演说能力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丰厚财力、贵族血统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本邦籍贯、成年男性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16</w:t>
      </w:r>
      <w:r>
        <w:rPr>
          <w:rFonts w:ascii="宋体" w:hAnsi="宋体"/>
          <w:color w:val="000000"/>
        </w:rPr>
        <w:t>世纪中叶，法国人帕斯基耶写作《法国研究》时说，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我用俗语（而非拉丁语）写作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；布代的《论钱币》处处流露出捍卫法国文化并与意大利人竞争的意识。有学者因此认为，</w:t>
      </w:r>
      <w:r>
        <w:rPr>
          <w:rFonts w:ascii="宋体" w:hAnsi="宋体"/>
          <w:color w:val="000000"/>
        </w:rPr>
        <w:t>16</w:t>
      </w:r>
      <w:r>
        <w:rPr>
          <w:rFonts w:ascii="宋体" w:hAnsi="宋体"/>
          <w:color w:val="000000"/>
        </w:rPr>
        <w:t>世纪是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萌</w:t>
      </w:r>
      <w:r>
        <w:rPr>
          <w:rFonts w:ascii="宋体" w:hAnsi="宋体"/>
          <w:color w:val="000000"/>
        </w:rPr>
        <w:t>发的世纪。据此可知，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的萌发缘于（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人文主义思想的广泛传播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新兴阶层摆脱宗教神权束缚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资本主义经济的迅猛发展</w:t>
      </w:r>
      <w:r>
        <w:rPr>
          <w:rFonts w:ascii="宋体" w:hAnsi="宋体"/>
          <w:color w:val="000000"/>
        </w:rPr>
        <w:tab/>
        <w:t>D. “</w:t>
      </w:r>
      <w:r>
        <w:rPr>
          <w:rFonts w:ascii="宋体" w:hAnsi="宋体"/>
          <w:color w:val="000000"/>
        </w:rPr>
        <w:t>人民主权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学说深入人心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1879</w:t>
      </w:r>
      <w:r>
        <w:rPr>
          <w:rFonts w:ascii="宋体" w:hAnsi="宋体"/>
          <w:color w:val="000000"/>
        </w:rPr>
        <w:t>年，德国杜伊斯堡成为世界最大内河港口，输入矿砂和粮食，输出煤和钢铁制品。</w:t>
      </w:r>
      <w:r>
        <w:rPr>
          <w:rFonts w:ascii="宋体" w:hAnsi="宋体"/>
          <w:color w:val="000000"/>
        </w:rPr>
        <w:t>1900</w:t>
      </w:r>
      <w:r>
        <w:rPr>
          <w:rFonts w:ascii="宋体" w:hAnsi="宋体"/>
          <w:color w:val="000000"/>
        </w:rPr>
        <w:t>年，德国船队总吨位由</w:t>
      </w:r>
      <w:r>
        <w:rPr>
          <w:rFonts w:ascii="宋体" w:hAnsi="宋体"/>
          <w:color w:val="000000"/>
        </w:rPr>
        <w:t>1870</w:t>
      </w:r>
      <w:r>
        <w:rPr>
          <w:rFonts w:ascii="宋体" w:hAnsi="宋体"/>
          <w:color w:val="000000"/>
        </w:rPr>
        <w:t>年不足百万吨发展至近</w:t>
      </w:r>
      <w:r>
        <w:rPr>
          <w:rFonts w:ascii="宋体" w:hAnsi="宋体"/>
          <w:color w:val="000000"/>
        </w:rPr>
        <w:t>200</w:t>
      </w:r>
      <w:r>
        <w:rPr>
          <w:rFonts w:ascii="宋体" w:hAnsi="宋体"/>
          <w:color w:val="000000"/>
        </w:rPr>
        <w:t>万吨，成为蒸汽时代以来第一个能与大英帝国一争高低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078986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船队。由此可知，这一时期的德国（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已经确立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世界工厂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的地位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航运业的发展助长其海外扩张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海上实力飞跃源</w:t>
      </w:r>
      <w:r>
        <w:rPr>
          <w:rFonts w:ascii="宋体" w:hAnsi="宋体"/>
          <w:color w:val="000000"/>
        </w:rPr>
        <w:t>于蒸汽机的改进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共和政体确立推动经济飞速发展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lastRenderedPageBreak/>
        <w:t xml:space="preserve">12. </w:t>
      </w:r>
      <w:r>
        <w:rPr>
          <w:rFonts w:ascii="宋体" w:hAnsi="宋体"/>
          <w:color w:val="000000"/>
        </w:rPr>
        <w:t>1917</w:t>
      </w:r>
      <w:r>
        <w:rPr>
          <w:rFonts w:ascii="宋体" w:hAnsi="宋体"/>
          <w:color w:val="000000"/>
        </w:rPr>
        <w:t>年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月中旬，加米涅夫和斯大林连续发表文章，主张只要临时政府不直接危及群众利益，就应给予支持；要求放弃无条件反对战争的立场，改行对临时政府施加压力以迫其开始和谈的策略。这个主张得到了党内大多数人的支持。这表明当时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A. </w:t>
      </w:r>
      <w:r>
        <w:rPr>
          <w:rFonts w:ascii="宋体" w:hAnsi="宋体"/>
          <w:color w:val="000000"/>
        </w:rPr>
        <w:t>临时政府反对继续进行帝国主义战争</w:t>
      </w:r>
      <w:r>
        <w:rPr>
          <w:rFonts w:ascii="宋体" w:hAnsi="宋体"/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沙皇残余势力仍对革命存在严重威胁</w:t>
      </w:r>
    </w:p>
    <w:p w:rsidR="00E1012F" w:rsidRDefault="000054AF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C. </w:t>
      </w:r>
      <w:r>
        <w:rPr>
          <w:rFonts w:ascii="宋体" w:hAnsi="宋体"/>
          <w:color w:val="000000"/>
        </w:rPr>
        <w:t>布尔什维克党对革命形势认识尚不明晰</w:t>
      </w:r>
      <w:r>
        <w:rPr>
          <w:rFonts w:ascii="宋体" w:hAnsi="宋体"/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国际局势不利于俄国革命持续深入发展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阅读材料，完成下列要求。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材料一</w:t>
      </w:r>
      <w:r>
        <w:rPr>
          <w:rFonts w:ascii="楷体" w:eastAsia="楷体" w:hAnsi="楷体" w:cs="楷体"/>
          <w:color w:val="000000"/>
        </w:rPr>
        <w:t xml:space="preserve">  20</w:t>
      </w:r>
      <w:r>
        <w:rPr>
          <w:rFonts w:ascii="楷体" w:eastAsia="楷体" w:hAnsi="楷体" w:cs="楷体"/>
          <w:color w:val="000000"/>
        </w:rPr>
        <w:t>世纪</w:t>
      </w:r>
      <w:r>
        <w:rPr>
          <w:rFonts w:ascii="楷体" w:eastAsia="楷体" w:hAnsi="楷体" w:cs="楷体"/>
          <w:color w:val="000000"/>
        </w:rPr>
        <w:t>50</w:t>
      </w:r>
      <w:r>
        <w:rPr>
          <w:rFonts w:ascii="楷体" w:eastAsia="楷体" w:hAnsi="楷体" w:cs="楷体"/>
          <w:color w:val="000000"/>
        </w:rPr>
        <w:t>年代，日本颁布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外资法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等一系列法规，加强对技术引进的管理，政府有关部门根据不同时期经济发展的需要，列出鼓励进口和限制进口的技术项目，对私人企业的技术引进加以指导，其后，日本政府逐渐放宽引进技术的管理和审查标准，企业决定引进方式和内容，并承担引进过程中的一切风险，所引进的技术主要来自欧美。</w:t>
      </w:r>
      <w:r>
        <w:rPr>
          <w:rFonts w:ascii="楷体" w:eastAsia="楷体" w:hAnsi="楷体" w:cs="楷体"/>
          <w:color w:val="000000"/>
        </w:rPr>
        <w:t>1962</w:t>
      </w:r>
      <w:r>
        <w:rPr>
          <w:rFonts w:ascii="楷体" w:eastAsia="楷体" w:hAnsi="楷体" w:cs="楷体"/>
          <w:color w:val="000000"/>
        </w:rPr>
        <w:t>年到</w:t>
      </w:r>
      <w:r>
        <w:rPr>
          <w:rFonts w:ascii="楷体" w:eastAsia="楷体" w:hAnsi="楷体" w:cs="楷体"/>
          <w:color w:val="000000"/>
        </w:rPr>
        <w:t>1966</w:t>
      </w:r>
      <w:r>
        <w:rPr>
          <w:rFonts w:ascii="楷体" w:eastAsia="楷体" w:hAnsi="楷体" w:cs="楷体"/>
          <w:color w:val="000000"/>
        </w:rPr>
        <w:t>年，在企业提出的技术引进申请中，有</w:t>
      </w:r>
      <w:r>
        <w:rPr>
          <w:rFonts w:ascii="楷体" w:eastAsia="楷体" w:hAnsi="楷体" w:cs="楷体"/>
          <w:color w:val="000000"/>
        </w:rPr>
        <w:t>90.4%</w:t>
      </w:r>
      <w:r>
        <w:rPr>
          <w:rFonts w:ascii="楷体" w:eastAsia="楷体" w:hAnsi="楷体" w:cs="楷体"/>
          <w:color w:val="000000"/>
        </w:rPr>
        <w:t>获得了批准。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摘编自王永生《技术进步及其组织</w:t>
      </w: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日本的经验与中国的实践》等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材料二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新中国成立后即确立发展科技的方针。</w:t>
      </w:r>
      <w:r>
        <w:rPr>
          <w:rFonts w:ascii="楷体" w:eastAsia="楷体" w:hAnsi="楷体" w:cs="楷体"/>
          <w:color w:val="000000"/>
        </w:rPr>
        <w:t>1956</w:t>
      </w:r>
      <w:r>
        <w:rPr>
          <w:rFonts w:ascii="楷体" w:eastAsia="楷体" w:hAnsi="楷体" w:cs="楷体"/>
          <w:color w:val="000000"/>
        </w:rPr>
        <w:t>年，国家制定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年科技规划，明确提出在进行科学研究时，应该首先掌握世界现有的先进科学成就，在开展国际科学合作时应力求自力更生，在技术引进方面，</w:t>
      </w:r>
      <w:r>
        <w:rPr>
          <w:rFonts w:ascii="楷体" w:eastAsia="楷体" w:hAnsi="楷体" w:cs="楷体"/>
          <w:color w:val="000000"/>
        </w:rPr>
        <w:t>50</w:t>
      </w:r>
      <w:r>
        <w:rPr>
          <w:rFonts w:ascii="楷体" w:eastAsia="楷体" w:hAnsi="楷体" w:cs="楷体"/>
          <w:color w:val="000000"/>
        </w:rPr>
        <w:t>年代，由苏联援建、成套供应设备的项目共计</w:t>
      </w:r>
      <w:r>
        <w:rPr>
          <w:rFonts w:ascii="楷体" w:eastAsia="楷体" w:hAnsi="楷体" w:cs="楷体"/>
          <w:color w:val="000000"/>
        </w:rPr>
        <w:t>304</w:t>
      </w:r>
      <w:r>
        <w:rPr>
          <w:rFonts w:ascii="楷体" w:eastAsia="楷体" w:hAnsi="楷体" w:cs="楷体"/>
          <w:color w:val="000000"/>
        </w:rPr>
        <w:t>项；由东欧各国援建、成套供应设备的建设项目共</w:t>
      </w:r>
      <w:r>
        <w:rPr>
          <w:rFonts w:ascii="楷体" w:eastAsia="楷体" w:hAnsi="楷体" w:cs="楷体"/>
          <w:color w:val="000000"/>
        </w:rPr>
        <w:t>116</w:t>
      </w:r>
      <w:r>
        <w:rPr>
          <w:rFonts w:ascii="楷体" w:eastAsia="楷体" w:hAnsi="楷体" w:cs="楷体"/>
          <w:color w:val="000000"/>
        </w:rPr>
        <w:t>项、引进成套设备的同时，还重视引进科学技术、人才、资金和管理经验。</w:t>
      </w:r>
      <w:r>
        <w:rPr>
          <w:rFonts w:ascii="楷体" w:eastAsia="楷体" w:hAnsi="楷体" w:cs="楷体"/>
          <w:color w:val="000000"/>
        </w:rPr>
        <w:t>1960</w:t>
      </w:r>
      <w:r>
        <w:rPr>
          <w:rFonts w:ascii="楷体" w:eastAsia="楷体" w:hAnsi="楷体" w:cs="楷体"/>
          <w:color w:val="000000"/>
        </w:rPr>
        <w:t>年，苏联政府决定撤走全部在华专家，这以后，我国完全依靠自己的力量发展国防尖端科学技术。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摘编自杨德才等《二十世纪中国科学技术史稿》等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材料三</w:t>
      </w:r>
      <w:r>
        <w:rPr>
          <w:rFonts w:ascii="楷体" w:eastAsia="楷体" w:hAnsi="楷体" w:cs="楷体"/>
          <w:color w:val="000000"/>
        </w:rPr>
        <w:t xml:space="preserve">  20</w:t>
      </w:r>
      <w:r>
        <w:rPr>
          <w:rFonts w:ascii="楷体" w:eastAsia="楷体" w:hAnsi="楷体" w:cs="楷体"/>
          <w:color w:val="000000"/>
        </w:rPr>
        <w:t>世</w:t>
      </w:r>
      <w:r>
        <w:rPr>
          <w:rFonts w:ascii="楷体" w:eastAsia="楷体" w:hAnsi="楷体" w:cs="楷体"/>
          <w:color w:val="000000"/>
        </w:rPr>
        <w:t>纪五六十年代，中国面对着严峻的国际形势、党中央果断决定研制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两弹一星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重点突破国防尖端技术，中央确定我国国防尖端科技的发展，要坚持自力更生为主、力争外援和利用资本主义国家已有的科学成果的方针，强调把立足点放在自力更生的基础上，通过自己的科学研究和实践，培养人才，掌握技术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据中共中央党史研究室《中国共产党历史》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）根据材料一、二，概括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世纪五六十年代中日两国技术引进的特点。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）根据材料并结合所学知识，分析中日技术引进呈现不同特点的背景。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）</w:t>
      </w:r>
      <w:r>
        <w:rPr>
          <w:rFonts w:ascii="宋体" w:hAnsi="宋体"/>
          <w:color w:val="000000"/>
        </w:rPr>
        <w:t>根据材料并结合所学知识，简析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世纪五六十年代中国科技发展的历史经验。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阅读材料，完成下列要求。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解读史料，获得历史认识，探寻史料表象背后的意蕴，是历史学的魅力所在。下表为史书所载东汉时期几位良吏的事迹。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7"/>
        <w:gridCol w:w="881"/>
        <w:gridCol w:w="6937"/>
      </w:tblGrid>
      <w:tr w:rsidR="00E1012F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任职地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事迹</w:t>
            </w:r>
          </w:p>
        </w:tc>
      </w:tr>
      <w:tr w:rsidR="00E1012F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刘陵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安成</w:t>
            </w:r>
          </w:p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江西）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先时多虎，百姓患之，皆徙他县。陵之官，修德政，逾月，虎悉出界去，民皆还之。</w:t>
            </w:r>
          </w:p>
        </w:tc>
      </w:tr>
      <w:tr w:rsidR="00E1012F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法雄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南郡</w:t>
            </w:r>
          </w:p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（今属湖北）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（郡）多虎狼之暴，前太守赏募张捕，反为所害者甚众。雄乃移书属县曰：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凡虎狼之在山林，犹人民之居城市。古者至化之世，猛兽不扰。皆由恩信宽泽，仁及飞（禽）走（兽）</w:t>
            </w:r>
            <w:r>
              <w:rPr>
                <w:rFonts w:ascii="楷体" w:eastAsia="楷体" w:hAnsi="楷体" w:cs="楷体"/>
                <w:color w:val="000000"/>
              </w:rPr>
              <w:t>……</w:t>
            </w:r>
            <w:r>
              <w:rPr>
                <w:rFonts w:ascii="楷体" w:eastAsia="楷体" w:hAnsi="楷体" w:cs="楷体"/>
                <w:color w:val="000000"/>
              </w:rPr>
              <w:t>其毁坏槛阱，不得妄捕山林。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是后虎害稍息，人以获安。</w:t>
            </w:r>
          </w:p>
        </w:tc>
      </w:tr>
      <w:tr w:rsidR="00E1012F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刘平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全椒</w:t>
            </w:r>
          </w:p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（今属安徽）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县多虎为害，平到修政，选进儒良，黜贪残，视事三月，虎皆渡江而去。</w:t>
            </w:r>
          </w:p>
        </w:tc>
      </w:tr>
      <w:tr w:rsidR="00E1012F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童恢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不其</w:t>
            </w:r>
          </w:p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（今属山东）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1012F" w:rsidRDefault="000054AF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民尝为虎所害，乃设槛捕之，生获二虎。恢闻而出，咒虎曰：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天生万物，唯人为贵</w:t>
            </w:r>
            <w:r>
              <w:rPr>
                <w:rFonts w:ascii="楷体" w:eastAsia="楷体" w:hAnsi="楷体" w:cs="楷体"/>
                <w:color w:val="000000"/>
              </w:rPr>
              <w:t>……</w:t>
            </w:r>
            <w:r>
              <w:rPr>
                <w:rFonts w:ascii="楷体" w:eastAsia="楷体" w:hAnsi="楷体" w:cs="楷体"/>
                <w:color w:val="000000"/>
              </w:rPr>
              <w:t>汝若是杀人者，当垂头服罪；自知非者，当号呼称冤。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一虎低头闭目，状如震惧，即时杀之。其一视恢鸣吼，踊跃自奋，遂令放释。吏人为之歌颂。</w:t>
            </w:r>
          </w:p>
        </w:tc>
      </w:tr>
    </w:tbl>
    <w:p w:rsidR="00E1012F" w:rsidRDefault="000054AF">
      <w:pPr>
        <w:spacing w:line="360" w:lineRule="auto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据《后汉书》等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阐述从上述材料中发现的历史现象，并得出一个结论。（要求：现象源自材料，结论明确，史论结合，表述清晰。）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：历史上重大改革回眸</w:t>
      </w:r>
      <w:r>
        <w:rPr>
          <w:rFonts w:ascii="宋体" w:hAnsi="宋体"/>
          <w:color w:val="000000"/>
        </w:rPr>
        <w:t>]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商鞅变法，严惩百姓私相斗殴行为，奖励军功，授以爵位田宅，养成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民勇于公战，怯于私斗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的风气，秦国的军队几乎战无不胜，统治区域不断扩大，被当时六国人称为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虎狼之国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。荀子曾访问秦国，他认为秦国管理有效，承认秦国军队战斗力强悍：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齐之技击，不可以遇魏氏之武卒；魏氏之武卒，不可以遇秦之锐士。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但他认为按商鞅之法组建的秦国军队，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隆势诈，尚功利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，无礼义教化，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干赏蹈利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（求赏逐利），只能称之为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盗兵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尚功利之兵，则胜、不胜，无常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，不能与春秋时齐桓公的军队相比，更不能与商汤王、周武王那样的仁义之师相提并论。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摘编自《荀子》等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）根据材料并结合所学知识，简析荀子称商鞅变法后的秦国军队为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盗兵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的原因。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）根据材料并结合所学知识，评价商鞅的军事改革。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：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057433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战争与和平</w:t>
      </w:r>
      <w:r>
        <w:rPr>
          <w:rFonts w:ascii="宋体" w:hAnsi="宋体"/>
          <w:color w:val="000000"/>
        </w:rPr>
        <w:t>]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1955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月，美国、英国意欲资助埃及修建阿斯旺水坝，并提出一系列附加条件，但为埃及领导人纳赛尔拒绝。次年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月，苏联提出为埃及修建阿斯旺水坝提供无附加条件的贷款。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月，在美英两国先后宣布撤销对阿斯旺水坝的援助后，纳赛尔也宣布将英、法控制的苏伊士运河公司收归国有。英国和法国对埃及这一决定反应非常强烈</w:t>
      </w:r>
      <w:r>
        <w:rPr>
          <w:rFonts w:ascii="楷体" w:eastAsia="楷体" w:hAnsi="楷体" w:cs="楷体"/>
          <w:color w:val="000000"/>
        </w:rPr>
        <w:t>，决定以军事手段维护两国的利益。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/>
          <w:color w:val="000000"/>
        </w:rPr>
        <w:t>日，苏联发表声明，支持埃及将运河国有化的决定。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29</w:t>
      </w:r>
      <w:r>
        <w:rPr>
          <w:rFonts w:ascii="楷体" w:eastAsia="楷体" w:hAnsi="楷体" w:cs="楷体"/>
          <w:color w:val="000000"/>
        </w:rPr>
        <w:t>日，英法联合以色列向埃及发动进攻，苏伊士运河战争爆发。在美国和苏联的压力下，英法两国和以色列在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日宣布停火。此后，法国进一步走上寻求欧洲联合的道路，</w:t>
      </w:r>
      <w:r>
        <w:rPr>
          <w:rFonts w:ascii="楷体" w:eastAsia="楷体" w:hAnsi="楷体" w:cs="楷体"/>
          <w:color w:val="000000"/>
        </w:rPr>
        <w:lastRenderedPageBreak/>
        <w:t>英国也加快了从殖民地撤离的步伐。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摘编自王缉思、牛军主编《缔造霸权：冷战时期的美国战略与决策》等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）根据材料并结合所学知识，简析苏伊士运河战争爆发前后美国对英国的态度变化及其目的。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）根据材料并结合所学知识，说明苏伊士运河战争对当时西方阵营的影响。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：中外历史人物评说</w:t>
      </w:r>
      <w:r>
        <w:rPr>
          <w:rFonts w:ascii="宋体" w:hAnsi="宋体"/>
          <w:color w:val="000000"/>
        </w:rPr>
        <w:t>]</w:t>
      </w:r>
    </w:p>
    <w:p w:rsidR="00E1012F" w:rsidRDefault="000054AF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1948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月，中共中央发出关于在新解放城市中召开各界人民代表会议的指示。</w:t>
      </w:r>
      <w:r>
        <w:rPr>
          <w:rFonts w:ascii="楷体" w:eastAsia="楷体" w:hAnsi="楷体" w:cs="楷体"/>
          <w:color w:val="000000"/>
        </w:rPr>
        <w:t>1949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/>
          <w:color w:val="000000"/>
        </w:rPr>
        <w:t>月至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月，毛泽东以中央或个人名义发出多份电报，督促各地尽快召开各界人民代表会议，并报告开会情况；批复和批转不少地区关于召开各界人民代表会议的报告，推广开会经验。毛泽东在指导各地召开各界人民代表会议的实践中，提出一系列带有方针、政策性的重要指导思想：各界人民代表会议是人民代表大会的前身，是人民群众参政议政的初期组织形式；召开各界人民代表会议是一件大事，这个会议是团结各</w:t>
      </w:r>
      <w:r>
        <w:rPr>
          <w:rFonts w:ascii="楷体" w:eastAsia="楷体" w:hAnsi="楷体" w:cs="楷体"/>
          <w:color w:val="000000"/>
        </w:rPr>
        <w:t>界人民的重要工具；在党的领导下，充分发扬民主，切实开好各界人民代表会议。</w:t>
      </w:r>
      <w:r>
        <w:rPr>
          <w:rFonts w:ascii="楷体" w:eastAsia="楷体" w:hAnsi="楷体" w:cs="楷体"/>
          <w:color w:val="000000"/>
        </w:rPr>
        <w:t>1949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月以后，由于党中央和毛泽东发出许多关于召开各界人民代表会议的指示，各地都迅速召开这一会议。</w:t>
      </w:r>
    </w:p>
    <w:p w:rsidR="00E1012F" w:rsidRDefault="000054AF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摘编自《党的文献》编辑部《共和国走过的路</w:t>
      </w:r>
      <w:r>
        <w:rPr>
          <w:rFonts w:ascii="楷体" w:eastAsia="楷体" w:hAnsi="楷体" w:cs="楷体"/>
          <w:color w:val="000000"/>
        </w:rPr>
        <w:t>—</w:t>
      </w:r>
      <w:r>
        <w:rPr>
          <w:rFonts w:ascii="楷体" w:eastAsia="楷体" w:hAnsi="楷体" w:cs="楷体"/>
          <w:color w:val="000000"/>
        </w:rPr>
        <w:t>建国以来重要文献专题选集》</w:t>
      </w:r>
    </w:p>
    <w:p w:rsidR="00E1012F" w:rsidRDefault="000054AF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）根据材料并结合所学知识，说明毛泽东高度重视各界人民代表会议的原因。</w:t>
      </w:r>
    </w:p>
    <w:p w:rsidR="00E1012F" w:rsidRDefault="000054AF" w:rsidP="00B413A6">
      <w:pPr>
        <w:spacing w:line="360" w:lineRule="auto"/>
        <w:jc w:val="left"/>
        <w:textAlignment w:val="center"/>
      </w:pP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color w:val="000000"/>
        </w:rPr>
        <w:t>）根据材料并结合所学知识，简析毛泽东督促召开各界人民代表会议的历史意义。</w:t>
      </w:r>
    </w:p>
    <w:sectPr w:rsidR="00E1012F" w:rsidSect="00B41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AF" w:rsidRDefault="000054AF">
      <w:r>
        <w:separator/>
      </w:r>
    </w:p>
  </w:endnote>
  <w:endnote w:type="continuationSeparator" w:id="0">
    <w:p w:rsidR="000054AF" w:rsidRDefault="0000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A6" w:rsidRDefault="00B413A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413A6" w:rsidRDefault="004151FC" w:rsidP="00B413A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A6" w:rsidRDefault="00B413A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AF" w:rsidRDefault="000054AF">
      <w:r>
        <w:separator/>
      </w:r>
    </w:p>
  </w:footnote>
  <w:footnote w:type="continuationSeparator" w:id="0">
    <w:p w:rsidR="000054AF" w:rsidRDefault="000054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A6" w:rsidRDefault="00B413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413A6" w:rsidRDefault="004151FC" w:rsidP="00B413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3A6" w:rsidRDefault="00B413A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F272C00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547EC14E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5A307CB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CF8EF1C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BD4A14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407C3A50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9DC2977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00CD9D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E92AB5B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4AF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413A6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1012F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2022-09-17T06:17:00Z</dcterms:created>
  <dcterms:modified xsi:type="dcterms:W3CDTF">2022-09-17T06:18:00Z</dcterms:modified>
</cp:coreProperties>
</file>